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C5" w:rsidRDefault="00F61EC5"/>
    <w:p w:rsidR="00F61EC5" w:rsidRPr="00F32A54" w:rsidRDefault="00F32A54" w:rsidP="00F32A54">
      <w:pPr>
        <w:jc w:val="center"/>
        <w:rPr>
          <w:b/>
          <w:bCs/>
          <w:sz w:val="28"/>
          <w:szCs w:val="28"/>
          <w:lang w:val="en-US"/>
        </w:rPr>
      </w:pPr>
      <w:r>
        <w:rPr>
          <w:rStyle w:val="lev"/>
          <w:sz w:val="28"/>
          <w:szCs w:val="28"/>
          <w:lang w:val="en-US"/>
        </w:rPr>
        <w:t>Economics of Innovation and Intellectual Property</w:t>
      </w:r>
    </w:p>
    <w:tbl>
      <w:tblPr>
        <w:tblStyle w:val="Grilledutableau"/>
        <w:tblW w:w="9062" w:type="dxa"/>
        <w:tblLook w:val="04A0" w:firstRow="1" w:lastRow="0" w:firstColumn="1" w:lastColumn="0" w:noHBand="0" w:noVBand="1"/>
      </w:tblPr>
      <w:tblGrid>
        <w:gridCol w:w="4674"/>
        <w:gridCol w:w="4388"/>
      </w:tblGrid>
      <w:tr w:rsidR="00F61EC5" w:rsidRPr="0022771D">
        <w:tc>
          <w:tcPr>
            <w:tcW w:w="4673" w:type="dxa"/>
            <w:shd w:val="clear" w:color="auto" w:fill="auto"/>
          </w:tcPr>
          <w:p w:rsidR="00F61EC5" w:rsidRDefault="003331A2">
            <w:pPr>
              <w:spacing w:after="0" w:line="240" w:lineRule="auto"/>
            </w:pPr>
            <w:r>
              <w:rPr>
                <w:rFonts w:ascii="Calibri" w:hAnsi="Calibri"/>
              </w:rPr>
              <w:t xml:space="preserve">Course </w:t>
            </w:r>
            <w:proofErr w:type="spellStart"/>
            <w:r>
              <w:rPr>
                <w:rFonts w:ascii="Calibri" w:hAnsi="Calibri"/>
              </w:rPr>
              <w:t>title</w:t>
            </w:r>
            <w:proofErr w:type="spellEnd"/>
            <w:r>
              <w:rPr>
                <w:rFonts w:ascii="Calibri" w:hAnsi="Calibri"/>
              </w:rPr>
              <w:t xml:space="preserve"> – Intitulé du cours</w:t>
            </w:r>
          </w:p>
        </w:tc>
        <w:tc>
          <w:tcPr>
            <w:tcW w:w="4388" w:type="dxa"/>
            <w:shd w:val="clear" w:color="auto" w:fill="auto"/>
          </w:tcPr>
          <w:p w:rsidR="00F61EC5" w:rsidRPr="00F32A54" w:rsidRDefault="00F32A54">
            <w:pPr>
              <w:spacing w:after="0" w:line="240" w:lineRule="auto"/>
              <w:rPr>
                <w:lang w:val="en-GB"/>
              </w:rPr>
            </w:pPr>
            <w:r w:rsidRPr="00F32A54">
              <w:rPr>
                <w:lang w:val="en-GB"/>
              </w:rPr>
              <w:t>Economics of Innovation and I</w:t>
            </w:r>
            <w:r>
              <w:rPr>
                <w:lang w:val="en-GB"/>
              </w:rPr>
              <w:t xml:space="preserve">ntellectual Property </w:t>
            </w:r>
          </w:p>
        </w:tc>
      </w:tr>
      <w:tr w:rsidR="00F61EC5">
        <w:tc>
          <w:tcPr>
            <w:tcW w:w="4673" w:type="dxa"/>
            <w:shd w:val="clear" w:color="auto" w:fill="auto"/>
          </w:tcPr>
          <w:p w:rsidR="00F61EC5" w:rsidRDefault="003331A2">
            <w:pPr>
              <w:spacing w:after="0" w:line="240" w:lineRule="auto"/>
            </w:pPr>
            <w:proofErr w:type="spellStart"/>
            <w:r>
              <w:rPr>
                <w:rFonts w:ascii="Calibri" w:hAnsi="Calibri"/>
              </w:rPr>
              <w:t>Level</w:t>
            </w:r>
            <w:proofErr w:type="spellEnd"/>
            <w:r>
              <w:rPr>
                <w:rFonts w:ascii="Calibri" w:hAnsi="Calibri"/>
              </w:rPr>
              <w:t xml:space="preserve"> / </w:t>
            </w:r>
            <w:proofErr w:type="spellStart"/>
            <w:r>
              <w:rPr>
                <w:rFonts w:ascii="Calibri" w:hAnsi="Calibri"/>
              </w:rPr>
              <w:t>Semester</w:t>
            </w:r>
            <w:proofErr w:type="spellEnd"/>
            <w:r>
              <w:rPr>
                <w:rFonts w:ascii="Calibri" w:hAnsi="Calibri"/>
              </w:rPr>
              <w:t xml:space="preserve"> – Niveau /semestre</w:t>
            </w:r>
          </w:p>
        </w:tc>
        <w:tc>
          <w:tcPr>
            <w:tcW w:w="4388" w:type="dxa"/>
            <w:shd w:val="clear" w:color="auto" w:fill="auto"/>
          </w:tcPr>
          <w:p w:rsidR="00F61EC5" w:rsidRDefault="0022771D">
            <w:pPr>
              <w:spacing w:after="0" w:line="240" w:lineRule="auto"/>
            </w:pPr>
            <w:r>
              <w:t>M2/S2</w:t>
            </w:r>
            <w:bookmarkStart w:id="0" w:name="_GoBack"/>
            <w:bookmarkEnd w:id="0"/>
          </w:p>
        </w:tc>
      </w:tr>
      <w:tr w:rsidR="00F61EC5">
        <w:tc>
          <w:tcPr>
            <w:tcW w:w="4673" w:type="dxa"/>
            <w:shd w:val="clear" w:color="auto" w:fill="auto"/>
          </w:tcPr>
          <w:p w:rsidR="00F61EC5" w:rsidRDefault="003331A2">
            <w:pPr>
              <w:spacing w:after="0" w:line="240" w:lineRule="auto"/>
            </w:pPr>
            <w:proofErr w:type="spellStart"/>
            <w:r>
              <w:rPr>
                <w:rFonts w:ascii="Calibri" w:hAnsi="Calibri"/>
              </w:rPr>
              <w:t>School</w:t>
            </w:r>
            <w:proofErr w:type="spellEnd"/>
            <w:r>
              <w:rPr>
                <w:rFonts w:ascii="Calibri" w:hAnsi="Calibri"/>
              </w:rPr>
              <w:t xml:space="preserve"> – Composante </w:t>
            </w:r>
          </w:p>
        </w:tc>
        <w:tc>
          <w:tcPr>
            <w:tcW w:w="4388" w:type="dxa"/>
            <w:shd w:val="clear" w:color="auto" w:fill="auto"/>
          </w:tcPr>
          <w:p w:rsidR="00F61EC5" w:rsidRDefault="003331A2">
            <w:pPr>
              <w:spacing w:after="0" w:line="240" w:lineRule="auto"/>
            </w:pPr>
            <w:r>
              <w:rPr>
                <w:rFonts w:ascii="Calibri" w:hAnsi="Calibri"/>
              </w:rPr>
              <w:t>Ecole d'Economie de Toulouse</w:t>
            </w:r>
          </w:p>
        </w:tc>
      </w:tr>
      <w:tr w:rsidR="00F61EC5">
        <w:tc>
          <w:tcPr>
            <w:tcW w:w="4673" w:type="dxa"/>
            <w:shd w:val="clear" w:color="auto" w:fill="auto"/>
          </w:tcPr>
          <w:p w:rsidR="00F61EC5" w:rsidRDefault="003331A2">
            <w:pPr>
              <w:spacing w:after="0" w:line="240" w:lineRule="auto"/>
            </w:pPr>
            <w:r>
              <w:rPr>
                <w:rFonts w:ascii="Calibri" w:hAnsi="Calibri"/>
              </w:rPr>
              <w:t>Teacher – Enseignant responsable</w:t>
            </w:r>
          </w:p>
        </w:tc>
        <w:tc>
          <w:tcPr>
            <w:tcW w:w="4388" w:type="dxa"/>
            <w:shd w:val="clear" w:color="auto" w:fill="auto"/>
          </w:tcPr>
          <w:p w:rsidR="00F61EC5" w:rsidRPr="000F7358" w:rsidRDefault="000F7358" w:rsidP="000F7358">
            <w:pPr>
              <w:spacing w:line="240" w:lineRule="auto"/>
              <w:rPr>
                <w:rFonts w:ascii="Calibri" w:hAnsi="Calibri" w:cs="Calibri"/>
                <w:lang w:val="en-US"/>
              </w:rPr>
            </w:pPr>
            <w:r w:rsidRPr="00F32A54">
              <w:rPr>
                <w:rStyle w:val="lev"/>
                <w:rFonts w:ascii="Calibri" w:hAnsi="Calibri" w:cs="Calibri"/>
                <w:b w:val="0"/>
                <w:lang w:val="en-US"/>
              </w:rPr>
              <w:t>Doh-Shin Jeon</w:t>
            </w:r>
          </w:p>
        </w:tc>
      </w:tr>
      <w:tr w:rsidR="00F61EC5" w:rsidRPr="0022771D">
        <w:tc>
          <w:tcPr>
            <w:tcW w:w="4673" w:type="dxa"/>
            <w:shd w:val="clear" w:color="auto" w:fill="auto"/>
          </w:tcPr>
          <w:p w:rsidR="00F61EC5" w:rsidRDefault="003331A2">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F61EC5" w:rsidRDefault="00F61EC5">
            <w:pPr>
              <w:spacing w:after="0" w:line="240" w:lineRule="auto"/>
              <w:rPr>
                <w:lang w:val="en-US"/>
              </w:rPr>
            </w:pPr>
          </w:p>
        </w:tc>
      </w:tr>
      <w:tr w:rsidR="00F61EC5" w:rsidRPr="0022771D">
        <w:tc>
          <w:tcPr>
            <w:tcW w:w="4673" w:type="dxa"/>
            <w:shd w:val="clear" w:color="auto" w:fill="auto"/>
          </w:tcPr>
          <w:p w:rsidR="00F61EC5" w:rsidRDefault="003331A2">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F61EC5" w:rsidRDefault="00F61EC5">
            <w:pPr>
              <w:spacing w:after="0" w:line="240" w:lineRule="auto"/>
              <w:rPr>
                <w:lang w:val="en-US"/>
              </w:rPr>
            </w:pPr>
          </w:p>
        </w:tc>
      </w:tr>
      <w:tr w:rsidR="00F61EC5" w:rsidRPr="0022771D">
        <w:tc>
          <w:tcPr>
            <w:tcW w:w="4673" w:type="dxa"/>
            <w:shd w:val="clear" w:color="auto" w:fill="auto"/>
          </w:tcPr>
          <w:p w:rsidR="00F61EC5" w:rsidRDefault="003331A2">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F61EC5" w:rsidRDefault="00F61EC5">
            <w:pPr>
              <w:spacing w:after="0" w:line="240" w:lineRule="auto"/>
              <w:rPr>
                <w:lang w:val="en-US"/>
              </w:rPr>
            </w:pPr>
          </w:p>
        </w:tc>
      </w:tr>
      <w:tr w:rsidR="00F61EC5" w:rsidRPr="0022771D">
        <w:tc>
          <w:tcPr>
            <w:tcW w:w="4673" w:type="dxa"/>
            <w:shd w:val="clear" w:color="auto" w:fill="auto"/>
          </w:tcPr>
          <w:p w:rsidR="00F61EC5" w:rsidRDefault="003331A2">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F61EC5" w:rsidRDefault="00F61EC5">
            <w:pPr>
              <w:spacing w:after="0" w:line="240" w:lineRule="auto"/>
              <w:rPr>
                <w:lang w:val="en-US"/>
              </w:rPr>
            </w:pPr>
          </w:p>
        </w:tc>
      </w:tr>
      <w:tr w:rsidR="00F61EC5" w:rsidRPr="0022771D">
        <w:tc>
          <w:tcPr>
            <w:tcW w:w="4673" w:type="dxa"/>
            <w:shd w:val="clear" w:color="auto" w:fill="auto"/>
          </w:tcPr>
          <w:p w:rsidR="00F61EC5" w:rsidRDefault="003331A2">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F61EC5" w:rsidRDefault="00F61EC5">
            <w:pPr>
              <w:spacing w:after="0" w:line="240" w:lineRule="auto"/>
              <w:rPr>
                <w:lang w:val="en-US"/>
              </w:rPr>
            </w:pPr>
          </w:p>
        </w:tc>
      </w:tr>
      <w:tr w:rsidR="00F61EC5">
        <w:tc>
          <w:tcPr>
            <w:tcW w:w="4673" w:type="dxa"/>
            <w:shd w:val="clear" w:color="auto" w:fill="auto"/>
          </w:tcPr>
          <w:p w:rsidR="00F61EC5" w:rsidRDefault="003331A2">
            <w:pPr>
              <w:spacing w:after="0" w:line="240" w:lineRule="auto"/>
            </w:pPr>
            <w:r>
              <w:rPr>
                <w:rFonts w:ascii="Calibri" w:hAnsi="Calibri"/>
              </w:rPr>
              <w:t xml:space="preserve">Lecture </w:t>
            </w:r>
            <w:proofErr w:type="spellStart"/>
            <w:r>
              <w:rPr>
                <w:rFonts w:ascii="Calibri" w:hAnsi="Calibri"/>
              </w:rPr>
              <w:t>Hours</w:t>
            </w:r>
            <w:proofErr w:type="spellEnd"/>
            <w:r>
              <w:rPr>
                <w:rFonts w:ascii="Calibri" w:hAnsi="Calibri"/>
              </w:rPr>
              <w:t xml:space="preserve"> – Volume Horaire CM</w:t>
            </w:r>
          </w:p>
        </w:tc>
        <w:tc>
          <w:tcPr>
            <w:tcW w:w="4388" w:type="dxa"/>
            <w:shd w:val="clear" w:color="auto" w:fill="auto"/>
          </w:tcPr>
          <w:p w:rsidR="00F61EC5" w:rsidRDefault="000F7358">
            <w:pPr>
              <w:spacing w:after="0" w:line="240" w:lineRule="auto"/>
            </w:pPr>
            <w:r>
              <w:t>30</w:t>
            </w:r>
          </w:p>
        </w:tc>
      </w:tr>
      <w:tr w:rsidR="00F61EC5">
        <w:tc>
          <w:tcPr>
            <w:tcW w:w="4673" w:type="dxa"/>
            <w:shd w:val="clear" w:color="auto" w:fill="auto"/>
          </w:tcPr>
          <w:p w:rsidR="00F61EC5" w:rsidRDefault="003331A2">
            <w:pPr>
              <w:spacing w:after="0" w:line="240" w:lineRule="auto"/>
            </w:pPr>
            <w:r>
              <w:rPr>
                <w:rFonts w:ascii="Calibri" w:hAnsi="Calibri"/>
              </w:rPr>
              <w:t xml:space="preserve">TA </w:t>
            </w:r>
            <w:proofErr w:type="spellStart"/>
            <w:r>
              <w:rPr>
                <w:rFonts w:ascii="Calibri" w:hAnsi="Calibri"/>
              </w:rPr>
              <w:t>Hours</w:t>
            </w:r>
            <w:proofErr w:type="spellEnd"/>
            <w:r>
              <w:rPr>
                <w:rFonts w:ascii="Calibri" w:hAnsi="Calibri"/>
              </w:rPr>
              <w:t xml:space="preserve"> – Volume horaire TD</w:t>
            </w:r>
          </w:p>
        </w:tc>
        <w:tc>
          <w:tcPr>
            <w:tcW w:w="4388" w:type="dxa"/>
            <w:shd w:val="clear" w:color="auto" w:fill="auto"/>
          </w:tcPr>
          <w:p w:rsidR="00F61EC5" w:rsidRDefault="00F61EC5">
            <w:pPr>
              <w:spacing w:after="0" w:line="240" w:lineRule="auto"/>
            </w:pPr>
          </w:p>
        </w:tc>
      </w:tr>
      <w:tr w:rsidR="00F61EC5">
        <w:tc>
          <w:tcPr>
            <w:tcW w:w="4673" w:type="dxa"/>
            <w:shd w:val="clear" w:color="auto" w:fill="auto"/>
          </w:tcPr>
          <w:p w:rsidR="00F61EC5" w:rsidRDefault="003331A2">
            <w:pPr>
              <w:spacing w:after="0" w:line="240" w:lineRule="auto"/>
            </w:pPr>
            <w:r>
              <w:rPr>
                <w:rFonts w:ascii="Calibri" w:hAnsi="Calibri"/>
              </w:rPr>
              <w:t xml:space="preserve">TP </w:t>
            </w:r>
            <w:proofErr w:type="spellStart"/>
            <w:r>
              <w:rPr>
                <w:rFonts w:ascii="Calibri" w:hAnsi="Calibri"/>
              </w:rPr>
              <w:t>Hours</w:t>
            </w:r>
            <w:proofErr w:type="spellEnd"/>
            <w:r>
              <w:rPr>
                <w:rFonts w:ascii="Calibri" w:hAnsi="Calibri"/>
              </w:rPr>
              <w:t xml:space="preserve"> – Volume horaire TP</w:t>
            </w:r>
          </w:p>
        </w:tc>
        <w:tc>
          <w:tcPr>
            <w:tcW w:w="4388" w:type="dxa"/>
            <w:shd w:val="clear" w:color="auto" w:fill="auto"/>
          </w:tcPr>
          <w:p w:rsidR="00F61EC5" w:rsidRDefault="00F61EC5">
            <w:pPr>
              <w:spacing w:after="0" w:line="240" w:lineRule="auto"/>
            </w:pPr>
          </w:p>
        </w:tc>
      </w:tr>
      <w:tr w:rsidR="00F61EC5">
        <w:tc>
          <w:tcPr>
            <w:tcW w:w="4673" w:type="dxa"/>
            <w:shd w:val="clear" w:color="auto" w:fill="auto"/>
          </w:tcPr>
          <w:p w:rsidR="00F61EC5" w:rsidRDefault="003331A2">
            <w:pPr>
              <w:spacing w:after="0" w:line="240" w:lineRule="auto"/>
            </w:pPr>
            <w:r>
              <w:rPr>
                <w:rFonts w:ascii="Calibri" w:hAnsi="Calibri"/>
              </w:rPr>
              <w:t xml:space="preserve">Course </w:t>
            </w:r>
            <w:proofErr w:type="spellStart"/>
            <w:r>
              <w:rPr>
                <w:rFonts w:ascii="Calibri" w:hAnsi="Calibri"/>
              </w:rPr>
              <w:t>Language</w:t>
            </w:r>
            <w:proofErr w:type="spellEnd"/>
            <w:r>
              <w:rPr>
                <w:rFonts w:ascii="Calibri" w:hAnsi="Calibri"/>
              </w:rPr>
              <w:t xml:space="preserve"> – Langue du cours</w:t>
            </w:r>
          </w:p>
        </w:tc>
        <w:tc>
          <w:tcPr>
            <w:tcW w:w="4388" w:type="dxa"/>
            <w:shd w:val="clear" w:color="auto" w:fill="auto"/>
          </w:tcPr>
          <w:p w:rsidR="00F61EC5" w:rsidRDefault="000F7358">
            <w:pPr>
              <w:spacing w:after="0" w:line="240" w:lineRule="auto"/>
            </w:pPr>
            <w:r>
              <w:t>English</w:t>
            </w:r>
          </w:p>
        </w:tc>
      </w:tr>
      <w:tr w:rsidR="00F61EC5">
        <w:tc>
          <w:tcPr>
            <w:tcW w:w="4673" w:type="dxa"/>
            <w:shd w:val="clear" w:color="auto" w:fill="auto"/>
          </w:tcPr>
          <w:p w:rsidR="00F61EC5" w:rsidRDefault="003331A2">
            <w:pPr>
              <w:spacing w:after="0" w:line="240" w:lineRule="auto"/>
            </w:pPr>
            <w:r>
              <w:rPr>
                <w:rFonts w:ascii="Calibri" w:hAnsi="Calibri"/>
              </w:rPr>
              <w:t xml:space="preserve">TA and/or TP </w:t>
            </w:r>
            <w:proofErr w:type="spellStart"/>
            <w:r>
              <w:rPr>
                <w:rFonts w:ascii="Calibri" w:hAnsi="Calibri"/>
              </w:rPr>
              <w:t>Language</w:t>
            </w:r>
            <w:proofErr w:type="spellEnd"/>
            <w:r>
              <w:rPr>
                <w:rFonts w:ascii="Calibri" w:hAnsi="Calibri"/>
              </w:rPr>
              <w:t xml:space="preserve"> – Langue des TD et/ou TP</w:t>
            </w:r>
          </w:p>
        </w:tc>
        <w:tc>
          <w:tcPr>
            <w:tcW w:w="4388" w:type="dxa"/>
            <w:shd w:val="clear" w:color="auto" w:fill="auto"/>
          </w:tcPr>
          <w:p w:rsidR="00F61EC5" w:rsidRDefault="00F61EC5">
            <w:pPr>
              <w:spacing w:after="0" w:line="240" w:lineRule="auto"/>
            </w:pPr>
          </w:p>
        </w:tc>
      </w:tr>
    </w:tbl>
    <w:p w:rsidR="00F61EC5" w:rsidRDefault="00F61EC5">
      <w:pPr>
        <w:rPr>
          <w:rFonts w:asciiTheme="minorHAnsi" w:hAnsiTheme="minorHAnsi"/>
        </w:rPr>
      </w:pPr>
    </w:p>
    <w:p w:rsidR="00F61EC5" w:rsidRDefault="003331A2">
      <w:pPr>
        <w:rPr>
          <w:rFonts w:asciiTheme="minorHAnsi" w:hAnsiTheme="minorHAnsi"/>
          <w:b/>
          <w:u w:val="single"/>
        </w:rPr>
      </w:pPr>
      <w:proofErr w:type="spellStart"/>
      <w:r>
        <w:rPr>
          <w:rFonts w:asciiTheme="minorHAnsi" w:hAnsiTheme="minorHAnsi"/>
          <w:b/>
          <w:u w:val="single"/>
        </w:rPr>
        <w:t>Teaching</w:t>
      </w:r>
      <w:proofErr w:type="spellEnd"/>
      <w:r>
        <w:rPr>
          <w:rFonts w:asciiTheme="minorHAnsi" w:hAnsiTheme="minorHAnsi"/>
          <w:b/>
          <w:u w:val="single"/>
        </w:rPr>
        <w:t xml:space="preserve"> staff contacts – Coordonnées de l’équipe pédagogique :</w:t>
      </w:r>
    </w:p>
    <w:p w:rsidR="00F32A54" w:rsidRDefault="00F32A54" w:rsidP="00F32A54">
      <w:pPr>
        <w:spacing w:line="240" w:lineRule="auto"/>
        <w:rPr>
          <w:rFonts w:ascii="Calibri" w:hAnsi="Calibri" w:cs="Calibri"/>
          <w:lang w:val="en-US"/>
        </w:rPr>
      </w:pPr>
      <w:r w:rsidRPr="00F32A54">
        <w:rPr>
          <w:rStyle w:val="lev"/>
          <w:rFonts w:ascii="Calibri" w:hAnsi="Calibri" w:cs="Calibri"/>
          <w:b w:val="0"/>
          <w:lang w:val="en-US"/>
        </w:rPr>
        <w:t>Doh-Shin Jeon</w:t>
      </w:r>
      <w:r w:rsidRPr="00F32A54">
        <w:rPr>
          <w:rFonts w:ascii="Calibri" w:hAnsi="Calibri" w:cs="Calibri"/>
          <w:lang w:val="en-US"/>
        </w:rPr>
        <w:t xml:space="preserve"> </w:t>
      </w:r>
    </w:p>
    <w:p w:rsidR="00F32A54" w:rsidRPr="00887077" w:rsidRDefault="00F32A54" w:rsidP="00F32A54">
      <w:pPr>
        <w:spacing w:line="240" w:lineRule="auto"/>
        <w:rPr>
          <w:rStyle w:val="lev"/>
          <w:rFonts w:asciiTheme="minorHAnsi" w:hAnsiTheme="minorHAnsi" w:cstheme="minorHAnsi"/>
          <w:b w:val="0"/>
          <w:bCs w:val="0"/>
          <w:lang w:val="en-US"/>
        </w:rPr>
      </w:pPr>
      <w:r w:rsidRPr="00887077">
        <w:rPr>
          <w:rStyle w:val="lev"/>
          <w:rFonts w:asciiTheme="minorHAnsi" w:hAnsiTheme="minorHAnsi" w:cstheme="minorHAnsi"/>
          <w:b w:val="0"/>
          <w:lang w:val="en-US"/>
        </w:rPr>
        <w:t>dohshin.jeon@</w:t>
      </w:r>
      <w:r w:rsidR="00887077" w:rsidRPr="00887077">
        <w:rPr>
          <w:rStyle w:val="lev"/>
          <w:rFonts w:asciiTheme="minorHAnsi" w:hAnsiTheme="minorHAnsi" w:cstheme="minorHAnsi"/>
          <w:b w:val="0"/>
          <w:lang w:val="en-US"/>
        </w:rPr>
        <w:t>tse-fr.eu</w:t>
      </w:r>
    </w:p>
    <w:p w:rsidR="00F32A54" w:rsidRPr="00887077" w:rsidRDefault="00887077">
      <w:pPr>
        <w:rPr>
          <w:rFonts w:asciiTheme="minorHAnsi" w:hAnsiTheme="minorHAnsi" w:cstheme="minorHAnsi"/>
          <w:b/>
          <w:iCs/>
          <w:u w:val="single"/>
        </w:rPr>
      </w:pPr>
      <w:r w:rsidRPr="00887077">
        <w:rPr>
          <w:rStyle w:val="lev"/>
          <w:rFonts w:asciiTheme="minorHAnsi" w:hAnsiTheme="minorHAnsi" w:cstheme="minorHAnsi"/>
          <w:b w:val="0"/>
          <w:iCs/>
        </w:rPr>
        <w:t>T675 (office)</w:t>
      </w:r>
    </w:p>
    <w:p w:rsidR="00F61EC5" w:rsidRDefault="003331A2">
      <w:pPr>
        <w:rPr>
          <w:rFonts w:asciiTheme="minorHAnsi" w:hAnsiTheme="minorHAnsi"/>
          <w:b/>
          <w:u w:val="single"/>
        </w:rPr>
      </w:pPr>
      <w:r>
        <w:rPr>
          <w:rFonts w:asciiTheme="minorHAnsi" w:hAnsiTheme="minorHAnsi"/>
          <w:b/>
          <w:u w:val="single"/>
        </w:rPr>
        <w:t>Course Objectives – Objectifs du cours :</w:t>
      </w:r>
    </w:p>
    <w:p w:rsidR="00F32A54" w:rsidRPr="00F32A54" w:rsidRDefault="00F32A54" w:rsidP="00F32A54">
      <w:pPr>
        <w:jc w:val="both"/>
        <w:rPr>
          <w:rFonts w:cs="Calibri"/>
          <w:sz w:val="24"/>
          <w:szCs w:val="24"/>
          <w:lang w:val="en-GB"/>
        </w:rPr>
      </w:pPr>
      <w:r w:rsidRPr="00F32A54">
        <w:rPr>
          <w:rFonts w:ascii="Calibri" w:hAnsi="Calibri" w:cs="Calibri"/>
          <w:sz w:val="24"/>
          <w:szCs w:val="24"/>
          <w:lang w:val="en-GB"/>
        </w:rPr>
        <w:t>We introduce the students to a selection of important current issues in the economics of intellectual property (IP). After the introduction to the messy current situation of the IP world and firms’ IP strategies, we review important economic contribution to topics such as licensing, litigation and injunction, settlement, weak patents, patent pool,  patent trolls (or NPEs), cross-licensing, standard setting organizatio</w:t>
      </w:r>
      <w:r w:rsidRPr="00F32A54">
        <w:rPr>
          <w:rFonts w:ascii="Calibri" w:hAnsi="Calibri" w:cs="Calibri"/>
          <w:sz w:val="24"/>
          <w:szCs w:val="24"/>
          <w:lang w:val="en-GB" w:eastAsia="ko-KR"/>
        </w:rPr>
        <w:t>ns</w:t>
      </w:r>
      <w:r w:rsidRPr="00F32A54">
        <w:rPr>
          <w:rFonts w:ascii="Calibri" w:hAnsi="Calibri" w:cs="Calibri"/>
          <w:sz w:val="24"/>
          <w:szCs w:val="24"/>
          <w:lang w:val="en-GB"/>
        </w:rPr>
        <w:t xml:space="preserve"> etc</w:t>
      </w:r>
      <w:r w:rsidRPr="00C7675A">
        <w:rPr>
          <w:rFonts w:cs="Calibri"/>
          <w:sz w:val="24"/>
          <w:szCs w:val="24"/>
          <w:lang w:val="en-GB"/>
        </w:rPr>
        <w:t>.</w:t>
      </w:r>
    </w:p>
    <w:p w:rsidR="00F61EC5" w:rsidRPr="00546D4F" w:rsidRDefault="003331A2">
      <w:pPr>
        <w:rPr>
          <w:rFonts w:asciiTheme="minorHAnsi" w:hAnsiTheme="minorHAnsi"/>
          <w:b/>
          <w:u w:val="single"/>
          <w:lang w:val="en-GB"/>
        </w:rPr>
      </w:pPr>
      <w:r w:rsidRPr="00546D4F">
        <w:rPr>
          <w:rFonts w:asciiTheme="minorHAnsi" w:hAnsiTheme="minorHAnsi"/>
          <w:b/>
          <w:u w:val="single"/>
          <w:lang w:val="en-GB"/>
        </w:rPr>
        <w:t xml:space="preserve">Prerequisites – </w:t>
      </w:r>
      <w:proofErr w:type="spellStart"/>
      <w:r w:rsidRPr="00546D4F">
        <w:rPr>
          <w:rFonts w:asciiTheme="minorHAnsi" w:hAnsiTheme="minorHAnsi"/>
          <w:b/>
          <w:u w:val="single"/>
          <w:lang w:val="en-GB"/>
        </w:rPr>
        <w:t>Pré</w:t>
      </w:r>
      <w:proofErr w:type="spellEnd"/>
      <w:r w:rsidRPr="00546D4F">
        <w:rPr>
          <w:rFonts w:asciiTheme="minorHAnsi" w:hAnsiTheme="minorHAnsi"/>
          <w:b/>
          <w:u w:val="single"/>
          <w:lang w:val="en-GB"/>
        </w:rPr>
        <w:t xml:space="preserve"> </w:t>
      </w:r>
      <w:proofErr w:type="spellStart"/>
      <w:proofErr w:type="gramStart"/>
      <w:r w:rsidRPr="00546D4F">
        <w:rPr>
          <w:rFonts w:asciiTheme="minorHAnsi" w:hAnsiTheme="minorHAnsi"/>
          <w:b/>
          <w:u w:val="single"/>
          <w:lang w:val="en-GB"/>
        </w:rPr>
        <w:t>requis</w:t>
      </w:r>
      <w:proofErr w:type="spellEnd"/>
      <w:r w:rsidRPr="00546D4F">
        <w:rPr>
          <w:rFonts w:asciiTheme="minorHAnsi" w:hAnsiTheme="minorHAnsi"/>
          <w:b/>
          <w:u w:val="single"/>
          <w:lang w:val="en-GB"/>
        </w:rPr>
        <w:t> :</w:t>
      </w:r>
      <w:proofErr w:type="gramEnd"/>
    </w:p>
    <w:p w:rsidR="00F32A54" w:rsidRPr="00F32A54" w:rsidRDefault="00F32A54" w:rsidP="00F32A54">
      <w:pPr>
        <w:jc w:val="both"/>
        <w:rPr>
          <w:rFonts w:ascii="Calibri" w:hAnsi="Calibri" w:cs="Calibri"/>
          <w:sz w:val="24"/>
          <w:szCs w:val="24"/>
          <w:lang w:val="en-GB"/>
        </w:rPr>
      </w:pPr>
      <w:r w:rsidRPr="00F32A54">
        <w:rPr>
          <w:rFonts w:ascii="Calibri" w:hAnsi="Calibri" w:cs="Calibri"/>
          <w:sz w:val="24"/>
          <w:szCs w:val="24"/>
          <w:lang w:val="en-GB"/>
        </w:rPr>
        <w:t>Students need to have basic knowledge of industrial organization theory; the TSE M1 IO level is fine.</w:t>
      </w:r>
      <w:r w:rsidRPr="00F32A54">
        <w:rPr>
          <w:rFonts w:ascii="Calibri" w:hAnsi="Calibri" w:cs="Calibri"/>
          <w:sz w:val="24"/>
          <w:szCs w:val="24"/>
          <w:lang w:val="en-GB" w:eastAsia="ko-KR"/>
        </w:rPr>
        <w:t xml:space="preserve"> </w:t>
      </w:r>
      <w:r w:rsidRPr="00F32A54">
        <w:rPr>
          <w:rFonts w:ascii="Calibri" w:hAnsi="Calibri" w:cs="Calibri"/>
          <w:sz w:val="24"/>
          <w:szCs w:val="24"/>
          <w:lang w:val="en-GB"/>
        </w:rPr>
        <w:t xml:space="preserve">This implies that you also need to know basic game theory. </w:t>
      </w:r>
    </w:p>
    <w:p w:rsidR="00F61EC5" w:rsidRDefault="003331A2">
      <w:pPr>
        <w:rPr>
          <w:rFonts w:asciiTheme="minorHAnsi" w:hAnsiTheme="minorHAnsi"/>
          <w:b/>
          <w:u w:val="single"/>
        </w:rPr>
      </w:pPr>
      <w:proofErr w:type="spellStart"/>
      <w:r>
        <w:rPr>
          <w:rFonts w:asciiTheme="minorHAnsi" w:hAnsiTheme="minorHAnsi"/>
          <w:b/>
          <w:u w:val="single"/>
        </w:rPr>
        <w:t>Practical</w:t>
      </w:r>
      <w:proofErr w:type="spellEnd"/>
      <w:r>
        <w:rPr>
          <w:rFonts w:asciiTheme="minorHAnsi" w:hAnsiTheme="minorHAnsi"/>
          <w:b/>
          <w:u w:val="single"/>
        </w:rPr>
        <w:t xml:space="preserve"> information about the sessions – Modalités pratiques de gestion du cours :</w:t>
      </w:r>
    </w:p>
    <w:p w:rsidR="000F7358" w:rsidRPr="000F7358" w:rsidRDefault="000F7358" w:rsidP="000F7358">
      <w:pPr>
        <w:rPr>
          <w:rFonts w:ascii="Calibri" w:hAnsi="Calibri" w:cs="Calibri"/>
          <w:sz w:val="24"/>
          <w:szCs w:val="24"/>
          <w:lang w:val="en-GB"/>
        </w:rPr>
      </w:pPr>
      <w:r w:rsidRPr="000F7358">
        <w:rPr>
          <w:rFonts w:ascii="Calibri" w:hAnsi="Calibri" w:cs="Calibri"/>
          <w:b/>
          <w:sz w:val="24"/>
          <w:szCs w:val="24"/>
          <w:lang w:val="en-GB"/>
        </w:rPr>
        <w:t>Laptop and Tablet</w:t>
      </w:r>
      <w:r w:rsidRPr="000F7358">
        <w:rPr>
          <w:rFonts w:ascii="Calibri" w:hAnsi="Calibri" w:cs="Calibri"/>
          <w:sz w:val="24"/>
          <w:szCs w:val="24"/>
          <w:lang w:val="en-GB"/>
        </w:rPr>
        <w:t>: You should not use them</w:t>
      </w:r>
      <w:r w:rsidR="00887077">
        <w:rPr>
          <w:rFonts w:ascii="Calibri" w:hAnsi="Calibri" w:cs="Calibri"/>
          <w:sz w:val="24"/>
          <w:szCs w:val="24"/>
          <w:lang w:val="en-GB"/>
        </w:rPr>
        <w:t xml:space="preserve"> but for tying.</w:t>
      </w:r>
      <w:r w:rsidRPr="000F7358">
        <w:rPr>
          <w:rFonts w:ascii="Calibri" w:hAnsi="Calibri" w:cs="Calibri"/>
          <w:sz w:val="24"/>
          <w:szCs w:val="24"/>
          <w:lang w:val="en-GB"/>
        </w:rPr>
        <w:t xml:space="preserve"> </w:t>
      </w:r>
    </w:p>
    <w:p w:rsidR="000F7358" w:rsidRPr="000F7358" w:rsidRDefault="000F7358">
      <w:pPr>
        <w:rPr>
          <w:rFonts w:asciiTheme="minorHAnsi" w:hAnsiTheme="minorHAnsi"/>
          <w:b/>
          <w:u w:val="single"/>
          <w:lang w:val="en-GB"/>
        </w:rPr>
      </w:pPr>
    </w:p>
    <w:p w:rsidR="00F32A54" w:rsidRPr="000F7358" w:rsidRDefault="00F32A54">
      <w:pPr>
        <w:rPr>
          <w:rFonts w:asciiTheme="minorHAnsi" w:hAnsiTheme="minorHAnsi"/>
          <w:b/>
          <w:u w:val="single"/>
          <w:lang w:val="en-GB"/>
        </w:rPr>
      </w:pPr>
    </w:p>
    <w:p w:rsidR="00F61EC5" w:rsidRPr="00887077" w:rsidRDefault="003331A2">
      <w:pPr>
        <w:rPr>
          <w:rFonts w:asciiTheme="minorHAnsi" w:hAnsiTheme="minorHAnsi"/>
          <w:b/>
          <w:u w:val="single"/>
          <w:lang w:val="en-US"/>
        </w:rPr>
      </w:pPr>
      <w:r w:rsidRPr="00887077">
        <w:rPr>
          <w:rFonts w:asciiTheme="minorHAnsi" w:hAnsiTheme="minorHAnsi"/>
          <w:b/>
          <w:u w:val="single"/>
          <w:lang w:val="en-US"/>
        </w:rPr>
        <w:t xml:space="preserve">Grading system – </w:t>
      </w:r>
      <w:proofErr w:type="spellStart"/>
      <w:r w:rsidRPr="00887077">
        <w:rPr>
          <w:rFonts w:asciiTheme="minorHAnsi" w:hAnsiTheme="minorHAnsi"/>
          <w:b/>
          <w:u w:val="single"/>
          <w:lang w:val="en-US"/>
        </w:rPr>
        <w:t>Modalités</w:t>
      </w:r>
      <w:proofErr w:type="spellEnd"/>
      <w:r w:rsidRPr="00887077">
        <w:rPr>
          <w:rFonts w:asciiTheme="minorHAnsi" w:hAnsiTheme="minorHAnsi"/>
          <w:b/>
          <w:u w:val="single"/>
          <w:lang w:val="en-US"/>
        </w:rPr>
        <w:t xml:space="preserve"> </w:t>
      </w:r>
      <w:proofErr w:type="spellStart"/>
      <w:proofErr w:type="gramStart"/>
      <w:r w:rsidRPr="00887077">
        <w:rPr>
          <w:rFonts w:asciiTheme="minorHAnsi" w:hAnsiTheme="minorHAnsi"/>
          <w:b/>
          <w:u w:val="single"/>
          <w:lang w:val="en-US"/>
        </w:rPr>
        <w:t>d’évaluation</w:t>
      </w:r>
      <w:proofErr w:type="spellEnd"/>
      <w:r w:rsidRPr="00887077">
        <w:rPr>
          <w:rFonts w:asciiTheme="minorHAnsi" w:hAnsiTheme="minorHAnsi"/>
          <w:b/>
          <w:u w:val="single"/>
          <w:lang w:val="en-US"/>
        </w:rPr>
        <w:t> :</w:t>
      </w:r>
      <w:proofErr w:type="gramEnd"/>
    </w:p>
    <w:p w:rsidR="000F7358" w:rsidRPr="000F7358" w:rsidRDefault="000F7358" w:rsidP="000F7358">
      <w:pPr>
        <w:rPr>
          <w:rFonts w:asciiTheme="minorHAnsi" w:hAnsiTheme="minorHAnsi" w:cstheme="minorHAnsi"/>
          <w:sz w:val="24"/>
          <w:szCs w:val="24"/>
          <w:lang w:val="en-GB"/>
        </w:rPr>
      </w:pPr>
      <w:r w:rsidRPr="000F7358">
        <w:rPr>
          <w:rFonts w:asciiTheme="minorHAnsi" w:hAnsiTheme="minorHAnsi" w:cstheme="minorHAnsi"/>
          <w:sz w:val="24"/>
          <w:szCs w:val="24"/>
          <w:lang w:val="en-GB"/>
        </w:rPr>
        <w:t xml:space="preserve">Grading </w:t>
      </w:r>
      <w:proofErr w:type="gramStart"/>
      <w:r w:rsidRPr="000F7358">
        <w:rPr>
          <w:rFonts w:asciiTheme="minorHAnsi" w:hAnsiTheme="minorHAnsi" w:cstheme="minorHAnsi"/>
          <w:sz w:val="24"/>
          <w:szCs w:val="24"/>
          <w:lang w:val="en-GB"/>
        </w:rPr>
        <w:t>will be based</w:t>
      </w:r>
      <w:proofErr w:type="gramEnd"/>
      <w:r w:rsidRPr="000F7358">
        <w:rPr>
          <w:rFonts w:asciiTheme="minorHAnsi" w:hAnsiTheme="minorHAnsi" w:cstheme="minorHAnsi"/>
          <w:sz w:val="24"/>
          <w:szCs w:val="24"/>
          <w:lang w:val="en-GB"/>
        </w:rPr>
        <w:t xml:space="preserve"> on the final exam (70%) and group presentations and participation in the class (30%). </w:t>
      </w:r>
    </w:p>
    <w:p w:rsidR="000F7358" w:rsidRPr="000F7358" w:rsidRDefault="000F7358">
      <w:pPr>
        <w:rPr>
          <w:rFonts w:asciiTheme="minorHAnsi" w:hAnsiTheme="minorHAnsi"/>
          <w:b/>
          <w:u w:val="single"/>
          <w:lang w:val="en-GB"/>
        </w:rPr>
      </w:pPr>
    </w:p>
    <w:p w:rsidR="00F61EC5" w:rsidRDefault="003331A2">
      <w:pPr>
        <w:rPr>
          <w:rFonts w:asciiTheme="minorHAnsi" w:hAnsiTheme="minorHAnsi"/>
          <w:b/>
          <w:u w:val="single"/>
        </w:rPr>
      </w:pPr>
      <w:proofErr w:type="spellStart"/>
      <w:r>
        <w:rPr>
          <w:rFonts w:asciiTheme="minorHAnsi" w:hAnsiTheme="minorHAnsi"/>
          <w:b/>
          <w:u w:val="single"/>
        </w:rPr>
        <w:t>Bibliography</w:t>
      </w:r>
      <w:proofErr w:type="spellEnd"/>
      <w:r>
        <w:rPr>
          <w:rFonts w:asciiTheme="minorHAnsi" w:hAnsiTheme="minorHAnsi"/>
          <w:b/>
          <w:u w:val="single"/>
        </w:rPr>
        <w:t>/</w:t>
      </w:r>
      <w:proofErr w:type="spellStart"/>
      <w:r>
        <w:rPr>
          <w:rFonts w:asciiTheme="minorHAnsi" w:hAnsiTheme="minorHAnsi"/>
          <w:b/>
          <w:u w:val="single"/>
        </w:rPr>
        <w:t>references</w:t>
      </w:r>
      <w:proofErr w:type="spellEnd"/>
      <w:r>
        <w:rPr>
          <w:rFonts w:asciiTheme="minorHAnsi" w:hAnsiTheme="minorHAnsi"/>
          <w:b/>
          <w:u w:val="single"/>
        </w:rPr>
        <w:t xml:space="preserve"> – Bibliographie/références :</w:t>
      </w:r>
    </w:p>
    <w:p w:rsidR="00F32A54" w:rsidRPr="00F32A54" w:rsidRDefault="00F32A54" w:rsidP="00F32A54">
      <w:pPr>
        <w:pStyle w:val="Paragraphedeliste1"/>
        <w:numPr>
          <w:ilvl w:val="0"/>
          <w:numId w:val="4"/>
        </w:numPr>
        <w:tabs>
          <w:tab w:val="left" w:pos="284"/>
        </w:tabs>
        <w:spacing w:after="0" w:line="240" w:lineRule="auto"/>
        <w:jc w:val="both"/>
        <w:rPr>
          <w:rFonts w:cs="Calibri"/>
          <w:color w:val="000000"/>
          <w:sz w:val="24"/>
          <w:szCs w:val="24"/>
          <w:shd w:val="clear" w:color="auto" w:fill="FFFFFF"/>
          <w:lang w:val="en-US"/>
        </w:rPr>
      </w:pPr>
      <w:r w:rsidRPr="00F32A54">
        <w:rPr>
          <w:rFonts w:cs="Calibri"/>
          <w:sz w:val="24"/>
          <w:szCs w:val="24"/>
          <w:lang w:val="en-US"/>
        </w:rPr>
        <w:t xml:space="preserve">Suzanne </w:t>
      </w:r>
      <w:proofErr w:type="spellStart"/>
      <w:r w:rsidRPr="00F32A54">
        <w:rPr>
          <w:rFonts w:cs="Calibri"/>
          <w:sz w:val="24"/>
          <w:szCs w:val="24"/>
          <w:lang w:val="en-US"/>
        </w:rPr>
        <w:t>Scotchmer</w:t>
      </w:r>
      <w:proofErr w:type="spellEnd"/>
      <w:r w:rsidRPr="00F32A54">
        <w:rPr>
          <w:rFonts w:cs="Calibri"/>
          <w:sz w:val="24"/>
          <w:szCs w:val="24"/>
          <w:lang w:val="en-US"/>
        </w:rPr>
        <w:t xml:space="preserve">, Innovation and Incentives, 2004, MIT Press </w:t>
      </w:r>
    </w:p>
    <w:p w:rsidR="00F32A54" w:rsidRPr="00F32A54" w:rsidRDefault="00F32A54" w:rsidP="00F32A54">
      <w:pPr>
        <w:numPr>
          <w:ilvl w:val="0"/>
          <w:numId w:val="4"/>
        </w:numPr>
        <w:tabs>
          <w:tab w:val="left" w:pos="284"/>
        </w:tabs>
        <w:spacing w:after="0" w:line="240" w:lineRule="auto"/>
        <w:jc w:val="both"/>
        <w:rPr>
          <w:rFonts w:ascii="Calibri" w:hAnsi="Calibri" w:cs="Calibri"/>
          <w:color w:val="000000"/>
          <w:sz w:val="24"/>
          <w:szCs w:val="24"/>
          <w:shd w:val="clear" w:color="auto" w:fill="FFFFFF"/>
          <w:lang w:val="en-US"/>
        </w:rPr>
      </w:pPr>
      <w:proofErr w:type="spellStart"/>
      <w:r w:rsidRPr="00887077">
        <w:rPr>
          <w:rFonts w:ascii="Calibri" w:hAnsi="Calibri" w:cs="Calibri"/>
          <w:color w:val="000000"/>
          <w:sz w:val="24"/>
          <w:szCs w:val="24"/>
          <w:shd w:val="clear" w:color="auto" w:fill="FFFFFF"/>
          <w:lang w:val="de-DE"/>
        </w:rPr>
        <w:t>Bessen</w:t>
      </w:r>
      <w:proofErr w:type="spellEnd"/>
      <w:r w:rsidRPr="00887077">
        <w:rPr>
          <w:rFonts w:ascii="Calibri" w:hAnsi="Calibri" w:cs="Calibri"/>
          <w:color w:val="000000"/>
          <w:sz w:val="24"/>
          <w:szCs w:val="24"/>
          <w:shd w:val="clear" w:color="auto" w:fill="FFFFFF"/>
          <w:lang w:val="de-DE"/>
        </w:rPr>
        <w:t xml:space="preserve">, J., and Meurer, M., 2008. </w:t>
      </w:r>
      <w:r w:rsidRPr="00F32A54">
        <w:rPr>
          <w:rFonts w:ascii="Calibri" w:hAnsi="Calibri" w:cs="Calibri"/>
          <w:color w:val="000000"/>
          <w:sz w:val="24"/>
          <w:szCs w:val="24"/>
          <w:shd w:val="clear" w:color="auto" w:fill="FFFFFF"/>
          <w:lang w:val="en-US"/>
        </w:rPr>
        <w:t>Patent Failure: How Judges, Bureaucrats, and Lawyers Put Innovators at Risk. Princeton, NJ: Princeton University Press.</w:t>
      </w:r>
    </w:p>
    <w:p w:rsidR="00F32A54" w:rsidRPr="000F7358" w:rsidRDefault="00F32A54" w:rsidP="000F7358">
      <w:pPr>
        <w:numPr>
          <w:ilvl w:val="0"/>
          <w:numId w:val="4"/>
        </w:numPr>
        <w:tabs>
          <w:tab w:val="left" w:pos="284"/>
        </w:tabs>
        <w:spacing w:after="0" w:line="240" w:lineRule="auto"/>
        <w:jc w:val="both"/>
        <w:rPr>
          <w:rFonts w:ascii="Calibri" w:hAnsi="Calibri" w:cs="Calibri"/>
          <w:color w:val="000000"/>
          <w:sz w:val="24"/>
          <w:szCs w:val="24"/>
          <w:shd w:val="clear" w:color="auto" w:fill="FFFFFF"/>
          <w:lang w:val="en-US"/>
        </w:rPr>
      </w:pPr>
      <w:r w:rsidRPr="00F32A54">
        <w:rPr>
          <w:rFonts w:ascii="Calibri" w:hAnsi="Calibri" w:cs="Calibri"/>
          <w:color w:val="000000"/>
          <w:sz w:val="24"/>
          <w:szCs w:val="24"/>
          <w:shd w:val="clear" w:color="auto" w:fill="FFFFFF"/>
          <w:lang w:val="en-US"/>
        </w:rPr>
        <w:t>Jaffe, A. B. and J. Lerner, 2004, Innovation and Its Discontents: How Our Broken Patent System is Endangering Innovation and Progress, and What to Do About It., Princeton, N.J.: Princeton University Press.</w:t>
      </w:r>
    </w:p>
    <w:p w:rsidR="00F32A54" w:rsidRPr="00F32A54" w:rsidRDefault="00F32A54">
      <w:pPr>
        <w:rPr>
          <w:rFonts w:asciiTheme="minorHAnsi" w:hAnsiTheme="minorHAnsi"/>
          <w:b/>
          <w:u w:val="single"/>
          <w:lang w:val="en-GB"/>
        </w:rPr>
      </w:pPr>
    </w:p>
    <w:p w:rsidR="00F61EC5" w:rsidRDefault="003331A2">
      <w:pPr>
        <w:rPr>
          <w:rFonts w:asciiTheme="minorHAnsi" w:hAnsiTheme="minorHAnsi"/>
          <w:b/>
          <w:u w:val="single"/>
        </w:rPr>
      </w:pPr>
      <w:r>
        <w:rPr>
          <w:rFonts w:asciiTheme="minorHAnsi" w:hAnsiTheme="minorHAnsi"/>
          <w:b/>
          <w:u w:val="single"/>
        </w:rPr>
        <w:t>Session planning – Planification des séances</w:t>
      </w:r>
      <w:r w:rsidR="00F32A54">
        <w:rPr>
          <w:rFonts w:asciiTheme="minorHAnsi" w:hAnsiTheme="minorHAnsi"/>
          <w:b/>
          <w:u w:val="single"/>
        </w:rPr>
        <w:t xml:space="preserve"> : </w:t>
      </w:r>
      <w:r>
        <w:rPr>
          <w:rFonts w:asciiTheme="minorHAnsi" w:hAnsiTheme="minorHAnsi"/>
          <w:b/>
          <w:u w:val="single"/>
        </w:rPr>
        <w:t> </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xml:space="preserve">Session 1: Introduction </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xml:space="preserve">The major part </w:t>
      </w:r>
      <w:proofErr w:type="gramStart"/>
      <w:r w:rsidRPr="000F7358">
        <w:rPr>
          <w:rFonts w:ascii="Calibri" w:hAnsi="Calibri" w:cs="Calibri"/>
          <w:bCs/>
          <w:sz w:val="24"/>
          <w:szCs w:val="24"/>
          <w:lang w:val="en-US" w:eastAsia="ko-KR"/>
        </w:rPr>
        <w:t>is based</w:t>
      </w:r>
      <w:proofErr w:type="gramEnd"/>
      <w:r w:rsidRPr="000F7358">
        <w:rPr>
          <w:rFonts w:ascii="Calibri" w:hAnsi="Calibri" w:cs="Calibri"/>
          <w:bCs/>
          <w:sz w:val="24"/>
          <w:szCs w:val="24"/>
          <w:lang w:val="en-US" w:eastAsia="ko-KR"/>
        </w:rPr>
        <w:t xml:space="preserve"> on the slides made by Margaret Kyle on “IP Business Strategy”, which will be complemented by the following papers. </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w:t>
      </w:r>
      <w:r w:rsidRPr="000F7358">
        <w:rPr>
          <w:rFonts w:ascii="Calibri" w:hAnsi="Calibri" w:cs="Calibri"/>
          <w:bCs/>
          <w:sz w:val="24"/>
          <w:szCs w:val="24"/>
          <w:lang w:val="en-US" w:eastAsia="ko-KR"/>
        </w:rPr>
        <w:tab/>
        <w:t xml:space="preserve">Andrei </w:t>
      </w:r>
      <w:proofErr w:type="spellStart"/>
      <w:r w:rsidRPr="000F7358">
        <w:rPr>
          <w:rFonts w:ascii="Calibri" w:hAnsi="Calibri" w:cs="Calibri"/>
          <w:bCs/>
          <w:sz w:val="24"/>
          <w:szCs w:val="24"/>
          <w:lang w:val="en-US" w:eastAsia="ko-KR"/>
        </w:rPr>
        <w:t>Hagiu</w:t>
      </w:r>
      <w:proofErr w:type="spellEnd"/>
      <w:r w:rsidRPr="000F7358">
        <w:rPr>
          <w:rFonts w:ascii="Calibri" w:hAnsi="Calibri" w:cs="Calibri"/>
          <w:bCs/>
          <w:sz w:val="24"/>
          <w:szCs w:val="24"/>
          <w:lang w:val="en-US" w:eastAsia="ko-KR"/>
        </w:rPr>
        <w:t xml:space="preserve"> (2011) “Intellectual Property </w:t>
      </w:r>
      <w:proofErr w:type="spellStart"/>
      <w:r w:rsidRPr="000F7358">
        <w:rPr>
          <w:rFonts w:ascii="Calibri" w:hAnsi="Calibri" w:cs="Calibri"/>
          <w:bCs/>
          <w:sz w:val="24"/>
          <w:szCs w:val="24"/>
          <w:lang w:val="en-US" w:eastAsia="ko-KR"/>
        </w:rPr>
        <w:t>Intermediares</w:t>
      </w:r>
      <w:proofErr w:type="spellEnd"/>
      <w:r w:rsidRPr="000F7358">
        <w:rPr>
          <w:rFonts w:ascii="Calibri" w:hAnsi="Calibri" w:cs="Calibri"/>
          <w:bCs/>
          <w:sz w:val="24"/>
          <w:szCs w:val="24"/>
          <w:lang w:val="en-US" w:eastAsia="ko-KR"/>
        </w:rPr>
        <w:t xml:space="preserve">”, </w:t>
      </w:r>
      <w:proofErr w:type="gramStart"/>
      <w:r w:rsidRPr="000F7358">
        <w:rPr>
          <w:rFonts w:ascii="Calibri" w:hAnsi="Calibri" w:cs="Calibri"/>
          <w:bCs/>
          <w:sz w:val="24"/>
          <w:szCs w:val="24"/>
          <w:lang w:val="en-US" w:eastAsia="ko-KR"/>
        </w:rPr>
        <w:t>Harvard  Business</w:t>
      </w:r>
      <w:proofErr w:type="gramEnd"/>
      <w:r w:rsidRPr="000F7358">
        <w:rPr>
          <w:rFonts w:ascii="Calibri" w:hAnsi="Calibri" w:cs="Calibri"/>
          <w:bCs/>
          <w:sz w:val="24"/>
          <w:szCs w:val="24"/>
          <w:lang w:val="en-US" w:eastAsia="ko-KR"/>
        </w:rPr>
        <w:t xml:space="preserve"> School, Case study</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w:t>
      </w:r>
      <w:r w:rsidRPr="000F7358">
        <w:rPr>
          <w:rFonts w:ascii="Calibri" w:hAnsi="Calibri" w:cs="Calibri"/>
          <w:bCs/>
          <w:sz w:val="24"/>
          <w:szCs w:val="24"/>
          <w:lang w:val="en-US" w:eastAsia="ko-KR"/>
        </w:rPr>
        <w:tab/>
        <w:t xml:space="preserve">Andrei </w:t>
      </w:r>
      <w:proofErr w:type="spellStart"/>
      <w:r w:rsidRPr="000F7358">
        <w:rPr>
          <w:rFonts w:ascii="Calibri" w:hAnsi="Calibri" w:cs="Calibri"/>
          <w:bCs/>
          <w:sz w:val="24"/>
          <w:szCs w:val="24"/>
          <w:lang w:val="en-US" w:eastAsia="ko-KR"/>
        </w:rPr>
        <w:t>Hagiu</w:t>
      </w:r>
      <w:proofErr w:type="spellEnd"/>
      <w:r w:rsidRPr="000F7358">
        <w:rPr>
          <w:rFonts w:ascii="Calibri" w:hAnsi="Calibri" w:cs="Calibri"/>
          <w:bCs/>
          <w:sz w:val="24"/>
          <w:szCs w:val="24"/>
          <w:lang w:val="en-US" w:eastAsia="ko-KR"/>
        </w:rPr>
        <w:t xml:space="preserve">, David </w:t>
      </w:r>
      <w:proofErr w:type="spellStart"/>
      <w:r w:rsidRPr="000F7358">
        <w:rPr>
          <w:rFonts w:ascii="Calibri" w:hAnsi="Calibri" w:cs="Calibri"/>
          <w:bCs/>
          <w:sz w:val="24"/>
          <w:szCs w:val="24"/>
          <w:lang w:val="en-US" w:eastAsia="ko-KR"/>
        </w:rPr>
        <w:t>Yoffie</w:t>
      </w:r>
      <w:proofErr w:type="spellEnd"/>
      <w:r w:rsidRPr="000F7358">
        <w:rPr>
          <w:rFonts w:ascii="Calibri" w:hAnsi="Calibri" w:cs="Calibri"/>
          <w:bCs/>
          <w:sz w:val="24"/>
          <w:szCs w:val="24"/>
          <w:lang w:val="en-US" w:eastAsia="ko-KR"/>
        </w:rPr>
        <w:t xml:space="preserve"> and Alison Berkley </w:t>
      </w:r>
      <w:proofErr w:type="spellStart"/>
      <w:r w:rsidRPr="000F7358">
        <w:rPr>
          <w:rFonts w:ascii="Calibri" w:hAnsi="Calibri" w:cs="Calibri"/>
          <w:bCs/>
          <w:sz w:val="24"/>
          <w:szCs w:val="24"/>
          <w:lang w:val="en-US" w:eastAsia="ko-KR"/>
        </w:rPr>
        <w:t>Wagonfeld</w:t>
      </w:r>
      <w:proofErr w:type="spellEnd"/>
      <w:r w:rsidRPr="000F7358">
        <w:rPr>
          <w:rFonts w:ascii="Calibri" w:hAnsi="Calibri" w:cs="Calibri"/>
          <w:bCs/>
          <w:sz w:val="24"/>
          <w:szCs w:val="24"/>
          <w:lang w:val="en-US" w:eastAsia="ko-KR"/>
        </w:rPr>
        <w:t xml:space="preserve"> (2011) “Intellectual Ventures” Harvard  Business School, Case study</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w:t>
      </w:r>
      <w:r w:rsidRPr="000F7358">
        <w:rPr>
          <w:rFonts w:ascii="Calibri" w:hAnsi="Calibri" w:cs="Calibri"/>
          <w:bCs/>
          <w:sz w:val="24"/>
          <w:szCs w:val="24"/>
          <w:lang w:val="en-US" w:eastAsia="ko-KR"/>
        </w:rPr>
        <w:tab/>
        <w:t xml:space="preserve">Michael A. Heller and Rebecca S. Eisenberg (1998) “Can Patents Deter Innovation? The </w:t>
      </w:r>
      <w:proofErr w:type="spellStart"/>
      <w:r w:rsidRPr="000F7358">
        <w:rPr>
          <w:rFonts w:ascii="Calibri" w:hAnsi="Calibri" w:cs="Calibri"/>
          <w:bCs/>
          <w:sz w:val="24"/>
          <w:szCs w:val="24"/>
          <w:lang w:val="en-US" w:eastAsia="ko-KR"/>
        </w:rPr>
        <w:t>Anticommons</w:t>
      </w:r>
      <w:proofErr w:type="spellEnd"/>
      <w:r w:rsidRPr="000F7358">
        <w:rPr>
          <w:rFonts w:ascii="Calibri" w:hAnsi="Calibri" w:cs="Calibri"/>
          <w:bCs/>
          <w:sz w:val="24"/>
          <w:szCs w:val="24"/>
          <w:lang w:val="en-US" w:eastAsia="ko-KR"/>
        </w:rPr>
        <w:t xml:space="preserve"> in Biomedical Research” Science 280: 698-701</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Session 2: Antitrust limits to settlement</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Carl Shapiro (2003) "Antitrust Limits to Patent Settlements" The RAND Journal of Economics Vol. 34, No. 2, pp. 391-411</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xml:space="preserve">Session 3: Injunction and weak patents </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w:t>
      </w:r>
      <w:r w:rsidRPr="000F7358">
        <w:rPr>
          <w:rFonts w:ascii="Calibri" w:hAnsi="Calibri" w:cs="Calibri"/>
          <w:bCs/>
          <w:sz w:val="24"/>
          <w:szCs w:val="24"/>
          <w:lang w:val="en-US" w:eastAsia="ko-KR"/>
        </w:rPr>
        <w:tab/>
        <w:t xml:space="preserve">Carl Shapiro. (2010). “Injunctions, Hold-Up, and Patent Royalties.” American Law and Economics Review. </w:t>
      </w:r>
      <w:proofErr w:type="gramStart"/>
      <w:r w:rsidRPr="000F7358">
        <w:rPr>
          <w:rFonts w:ascii="Calibri" w:hAnsi="Calibri" w:cs="Calibri"/>
          <w:bCs/>
          <w:sz w:val="24"/>
          <w:szCs w:val="24"/>
          <w:lang w:val="en-US" w:eastAsia="ko-KR"/>
        </w:rPr>
        <w:t>12</w:t>
      </w:r>
      <w:proofErr w:type="gramEnd"/>
      <w:r w:rsidRPr="000F7358">
        <w:rPr>
          <w:rFonts w:ascii="Calibri" w:hAnsi="Calibri" w:cs="Calibri"/>
          <w:bCs/>
          <w:sz w:val="24"/>
          <w:szCs w:val="24"/>
          <w:lang w:val="en-US" w:eastAsia="ko-KR"/>
        </w:rPr>
        <w:t>:509-557</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w:t>
      </w:r>
      <w:r w:rsidRPr="000F7358">
        <w:rPr>
          <w:rFonts w:ascii="Calibri" w:hAnsi="Calibri" w:cs="Calibri"/>
          <w:bCs/>
          <w:sz w:val="24"/>
          <w:szCs w:val="24"/>
          <w:lang w:val="en-US" w:eastAsia="ko-KR"/>
        </w:rPr>
        <w:tab/>
        <w:t>Farrell and Shapiro, (2008). “How strong are weak patents?</w:t>
      </w:r>
      <w:proofErr w:type="gramStart"/>
      <w:r w:rsidRPr="000F7358">
        <w:rPr>
          <w:rFonts w:ascii="Calibri" w:hAnsi="Calibri" w:cs="Calibri"/>
          <w:bCs/>
          <w:sz w:val="24"/>
          <w:szCs w:val="24"/>
          <w:lang w:val="en-US" w:eastAsia="ko-KR"/>
        </w:rPr>
        <w:t>”,</w:t>
      </w:r>
      <w:proofErr w:type="gramEnd"/>
      <w:r w:rsidRPr="000F7358">
        <w:rPr>
          <w:rFonts w:ascii="Calibri" w:hAnsi="Calibri" w:cs="Calibri"/>
          <w:bCs/>
          <w:sz w:val="24"/>
          <w:szCs w:val="24"/>
          <w:lang w:val="en-US" w:eastAsia="ko-KR"/>
        </w:rPr>
        <w:t xml:space="preserve"> American Economic Review, 98:1347-69</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xml:space="preserve">Session 4: Patent Pool </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xml:space="preserve">- Lerner, J., and J. </w:t>
      </w:r>
      <w:proofErr w:type="spellStart"/>
      <w:r w:rsidRPr="000F7358">
        <w:rPr>
          <w:rFonts w:ascii="Calibri" w:hAnsi="Calibri" w:cs="Calibri"/>
          <w:bCs/>
          <w:sz w:val="24"/>
          <w:szCs w:val="24"/>
          <w:lang w:val="en-US" w:eastAsia="ko-KR"/>
        </w:rPr>
        <w:t>Tirole</w:t>
      </w:r>
      <w:proofErr w:type="spellEnd"/>
      <w:r w:rsidRPr="000F7358">
        <w:rPr>
          <w:rFonts w:ascii="Calibri" w:hAnsi="Calibri" w:cs="Calibri"/>
          <w:bCs/>
          <w:sz w:val="24"/>
          <w:szCs w:val="24"/>
          <w:lang w:val="en-US" w:eastAsia="ko-KR"/>
        </w:rPr>
        <w:t>. 2004. "Efficient Patent Pools." American Economic Review, 94(3): 691-711.</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xml:space="preserve">-  Choi, Jay </w:t>
      </w:r>
      <w:proofErr w:type="spellStart"/>
      <w:r w:rsidRPr="000F7358">
        <w:rPr>
          <w:rFonts w:ascii="Calibri" w:hAnsi="Calibri" w:cs="Calibri"/>
          <w:bCs/>
          <w:sz w:val="24"/>
          <w:szCs w:val="24"/>
          <w:lang w:val="en-US" w:eastAsia="ko-KR"/>
        </w:rPr>
        <w:t>Pil</w:t>
      </w:r>
      <w:proofErr w:type="spellEnd"/>
      <w:r w:rsidRPr="000F7358">
        <w:rPr>
          <w:rFonts w:ascii="Calibri" w:hAnsi="Calibri" w:cs="Calibri"/>
          <w:bCs/>
          <w:sz w:val="24"/>
          <w:szCs w:val="24"/>
          <w:lang w:val="en-US" w:eastAsia="ko-KR"/>
        </w:rPr>
        <w:t xml:space="preserve"> and </w:t>
      </w:r>
      <w:proofErr w:type="spellStart"/>
      <w:r w:rsidRPr="000F7358">
        <w:rPr>
          <w:rFonts w:ascii="Calibri" w:hAnsi="Calibri" w:cs="Calibri"/>
          <w:bCs/>
          <w:sz w:val="24"/>
          <w:szCs w:val="24"/>
          <w:lang w:val="en-US" w:eastAsia="ko-KR"/>
        </w:rPr>
        <w:t>Heiko</w:t>
      </w:r>
      <w:proofErr w:type="spellEnd"/>
      <w:r w:rsidRPr="000F7358">
        <w:rPr>
          <w:rFonts w:ascii="Calibri" w:hAnsi="Calibri" w:cs="Calibri"/>
          <w:bCs/>
          <w:sz w:val="24"/>
          <w:szCs w:val="24"/>
          <w:lang w:val="en-US" w:eastAsia="ko-KR"/>
        </w:rPr>
        <w:t xml:space="preserve"> </w:t>
      </w:r>
      <w:proofErr w:type="spellStart"/>
      <w:r w:rsidRPr="000F7358">
        <w:rPr>
          <w:rFonts w:ascii="Calibri" w:hAnsi="Calibri" w:cs="Calibri"/>
          <w:bCs/>
          <w:sz w:val="24"/>
          <w:szCs w:val="24"/>
          <w:lang w:val="en-US" w:eastAsia="ko-KR"/>
        </w:rPr>
        <w:t>Gerlach</w:t>
      </w:r>
      <w:proofErr w:type="spellEnd"/>
      <w:r w:rsidRPr="000F7358">
        <w:rPr>
          <w:rFonts w:ascii="Calibri" w:hAnsi="Calibri" w:cs="Calibri"/>
          <w:bCs/>
          <w:sz w:val="24"/>
          <w:szCs w:val="24"/>
          <w:lang w:val="en-US" w:eastAsia="ko-KR"/>
        </w:rPr>
        <w:t xml:space="preserve"> (2015). “Patent Pools, Litigation and Innovation.” The RAND Journal of Economics, 46(3): 499-523</w:t>
      </w:r>
    </w:p>
    <w:p w:rsidR="000F7358" w:rsidRPr="000F7358" w:rsidRDefault="000F7358" w:rsidP="000F7358">
      <w:pPr>
        <w:autoSpaceDE w:val="0"/>
        <w:autoSpaceDN w:val="0"/>
        <w:adjustRightInd w:val="0"/>
        <w:spacing w:after="0" w:line="240" w:lineRule="auto"/>
        <w:ind w:left="502"/>
        <w:jc w:val="both"/>
        <w:rPr>
          <w:rFonts w:ascii="Calibri" w:hAnsi="Calibri" w:cs="Calibri"/>
          <w:bCs/>
          <w:sz w:val="24"/>
          <w:szCs w:val="24"/>
          <w:lang w:val="en-US" w:eastAsia="ko-KR"/>
        </w:rPr>
      </w:pPr>
      <w:r w:rsidRPr="000F7358">
        <w:rPr>
          <w:rFonts w:ascii="Calibri" w:hAnsi="Calibri" w:cs="Calibri"/>
          <w:bCs/>
          <w:sz w:val="24"/>
          <w:szCs w:val="24"/>
          <w:lang w:val="en-US" w:eastAsia="ko-KR"/>
        </w:rPr>
        <w:t>- Markus Reisinger and Emanuele Tarantino (2016), “Patent Pools in Input markets” Mimeo</w:t>
      </w:r>
    </w:p>
    <w:p w:rsidR="000F7358" w:rsidRPr="000F7358" w:rsidRDefault="000F7358" w:rsidP="000F7358">
      <w:pPr>
        <w:autoSpaceDE w:val="0"/>
        <w:autoSpaceDN w:val="0"/>
        <w:adjustRightInd w:val="0"/>
        <w:spacing w:after="0" w:line="240" w:lineRule="auto"/>
        <w:jc w:val="both"/>
        <w:rPr>
          <w:rFonts w:ascii="Calibri" w:hAnsi="Calibri" w:cs="Calibr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lastRenderedPageBreak/>
        <w:t xml:space="preserve">Session 5:  NPE (Patent Trolls) </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w:t>
      </w:r>
      <w:r w:rsidRPr="00887077">
        <w:rPr>
          <w:rFonts w:asciiTheme="minorHAnsi" w:hAnsiTheme="minorHAnsi" w:cstheme="minorHAnsi"/>
          <w:bCs/>
          <w:sz w:val="24"/>
          <w:szCs w:val="24"/>
          <w:lang w:val="en-US" w:eastAsia="ko-KR"/>
        </w:rPr>
        <w:tab/>
        <w:t xml:space="preserve">Lemus, Jorge and </w:t>
      </w:r>
      <w:proofErr w:type="spellStart"/>
      <w:r w:rsidRPr="00887077">
        <w:rPr>
          <w:rFonts w:asciiTheme="minorHAnsi" w:hAnsiTheme="minorHAnsi" w:cstheme="minorHAnsi"/>
          <w:bCs/>
          <w:sz w:val="24"/>
          <w:szCs w:val="24"/>
          <w:lang w:val="en-US" w:eastAsia="ko-KR"/>
        </w:rPr>
        <w:t>Temnyalov</w:t>
      </w:r>
      <w:proofErr w:type="spellEnd"/>
      <w:r w:rsidRPr="00887077">
        <w:rPr>
          <w:rFonts w:asciiTheme="minorHAnsi" w:hAnsiTheme="minorHAnsi" w:cstheme="minorHAnsi"/>
          <w:bCs/>
          <w:sz w:val="24"/>
          <w:szCs w:val="24"/>
          <w:lang w:val="en-US" w:eastAsia="ko-KR"/>
        </w:rPr>
        <w:t>, Emil, (2017) “Patent Privateering, Litigation and R&amp;D Incentives,” The RAND Journal of Economics 48(4)</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w:t>
      </w:r>
      <w:r w:rsidRPr="00887077">
        <w:rPr>
          <w:rFonts w:asciiTheme="minorHAnsi" w:hAnsiTheme="minorHAnsi" w:cstheme="minorHAnsi"/>
          <w:bCs/>
          <w:sz w:val="24"/>
          <w:szCs w:val="24"/>
          <w:lang w:val="en-US" w:eastAsia="ko-KR"/>
        </w:rPr>
        <w:tab/>
        <w:t xml:space="preserve">Choi, Jay </w:t>
      </w:r>
      <w:proofErr w:type="spellStart"/>
      <w:r w:rsidRPr="00887077">
        <w:rPr>
          <w:rFonts w:asciiTheme="minorHAnsi" w:hAnsiTheme="minorHAnsi" w:cstheme="minorHAnsi"/>
          <w:bCs/>
          <w:sz w:val="24"/>
          <w:szCs w:val="24"/>
          <w:lang w:val="en-US" w:eastAsia="ko-KR"/>
        </w:rPr>
        <w:t>Pil</w:t>
      </w:r>
      <w:proofErr w:type="spellEnd"/>
      <w:r w:rsidRPr="00887077">
        <w:rPr>
          <w:rFonts w:asciiTheme="minorHAnsi" w:hAnsiTheme="minorHAnsi" w:cstheme="minorHAnsi"/>
          <w:bCs/>
          <w:sz w:val="24"/>
          <w:szCs w:val="24"/>
          <w:lang w:val="en-US" w:eastAsia="ko-KR"/>
        </w:rPr>
        <w:t xml:space="preserve"> and </w:t>
      </w:r>
      <w:proofErr w:type="spellStart"/>
      <w:r w:rsidRPr="00887077">
        <w:rPr>
          <w:rFonts w:asciiTheme="minorHAnsi" w:hAnsiTheme="minorHAnsi" w:cstheme="minorHAnsi"/>
          <w:bCs/>
          <w:sz w:val="24"/>
          <w:szCs w:val="24"/>
          <w:lang w:val="en-US" w:eastAsia="ko-KR"/>
        </w:rPr>
        <w:t>Heiko</w:t>
      </w:r>
      <w:proofErr w:type="spellEnd"/>
      <w:r w:rsidRPr="00887077">
        <w:rPr>
          <w:rFonts w:asciiTheme="minorHAnsi" w:hAnsiTheme="minorHAnsi" w:cstheme="minorHAnsi"/>
          <w:bCs/>
          <w:sz w:val="24"/>
          <w:szCs w:val="24"/>
          <w:lang w:val="en-US" w:eastAsia="ko-KR"/>
        </w:rPr>
        <w:t xml:space="preserve"> </w:t>
      </w:r>
      <w:proofErr w:type="spellStart"/>
      <w:r w:rsidRPr="00887077">
        <w:rPr>
          <w:rFonts w:asciiTheme="minorHAnsi" w:hAnsiTheme="minorHAnsi" w:cstheme="minorHAnsi"/>
          <w:bCs/>
          <w:sz w:val="24"/>
          <w:szCs w:val="24"/>
          <w:lang w:val="en-US" w:eastAsia="ko-KR"/>
        </w:rPr>
        <w:t>Gerlach</w:t>
      </w:r>
      <w:proofErr w:type="spellEnd"/>
      <w:r w:rsidRPr="00887077">
        <w:rPr>
          <w:rFonts w:asciiTheme="minorHAnsi" w:hAnsiTheme="minorHAnsi" w:cstheme="minorHAnsi"/>
          <w:bCs/>
          <w:sz w:val="24"/>
          <w:szCs w:val="24"/>
          <w:lang w:val="en-US" w:eastAsia="ko-KR"/>
        </w:rPr>
        <w:t xml:space="preserve"> (2018). “A Model of Patent Trolls.” International Economic Review, 59(4)</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Session 6:  Cross-licensing</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 xml:space="preserve">- Jeon, </w:t>
      </w:r>
      <w:proofErr w:type="spellStart"/>
      <w:r w:rsidRPr="00887077">
        <w:rPr>
          <w:rFonts w:asciiTheme="minorHAnsi" w:hAnsiTheme="minorHAnsi" w:cstheme="minorHAnsi"/>
          <w:bCs/>
          <w:sz w:val="24"/>
          <w:szCs w:val="24"/>
          <w:lang w:val="en-US" w:eastAsia="ko-KR"/>
        </w:rPr>
        <w:t>Doh</w:t>
      </w:r>
      <w:proofErr w:type="spellEnd"/>
      <w:r w:rsidRPr="00887077">
        <w:rPr>
          <w:rFonts w:asciiTheme="minorHAnsi" w:hAnsiTheme="minorHAnsi" w:cstheme="minorHAnsi"/>
          <w:bCs/>
          <w:sz w:val="24"/>
          <w:szCs w:val="24"/>
          <w:lang w:val="en-US" w:eastAsia="ko-KR"/>
        </w:rPr>
        <w:t xml:space="preserve">-Shin and </w:t>
      </w:r>
      <w:proofErr w:type="spellStart"/>
      <w:r w:rsidRPr="00887077">
        <w:rPr>
          <w:rFonts w:asciiTheme="minorHAnsi" w:hAnsiTheme="minorHAnsi" w:cstheme="minorHAnsi"/>
          <w:bCs/>
          <w:sz w:val="24"/>
          <w:szCs w:val="24"/>
          <w:lang w:val="en-US" w:eastAsia="ko-KR"/>
        </w:rPr>
        <w:t>Yassine</w:t>
      </w:r>
      <w:proofErr w:type="spellEnd"/>
      <w:r w:rsidRPr="00887077">
        <w:rPr>
          <w:rFonts w:asciiTheme="minorHAnsi" w:hAnsiTheme="minorHAnsi" w:cstheme="minorHAnsi"/>
          <w:bCs/>
          <w:sz w:val="24"/>
          <w:szCs w:val="24"/>
          <w:lang w:val="en-US" w:eastAsia="ko-KR"/>
        </w:rPr>
        <w:t xml:space="preserve"> </w:t>
      </w:r>
      <w:proofErr w:type="spellStart"/>
      <w:r w:rsidRPr="00887077">
        <w:rPr>
          <w:rFonts w:asciiTheme="minorHAnsi" w:hAnsiTheme="minorHAnsi" w:cstheme="minorHAnsi"/>
          <w:bCs/>
          <w:sz w:val="24"/>
          <w:szCs w:val="24"/>
          <w:lang w:val="en-US" w:eastAsia="ko-KR"/>
        </w:rPr>
        <w:t>Lefouili</w:t>
      </w:r>
      <w:proofErr w:type="spellEnd"/>
      <w:r w:rsidRPr="00887077">
        <w:rPr>
          <w:rFonts w:asciiTheme="minorHAnsi" w:hAnsiTheme="minorHAnsi" w:cstheme="minorHAnsi"/>
          <w:bCs/>
          <w:sz w:val="24"/>
          <w:szCs w:val="24"/>
          <w:lang w:val="en-US" w:eastAsia="ko-KR"/>
        </w:rPr>
        <w:t xml:space="preserve"> (2018) "Cross-Licensing and competition", The RAND Journal of Economics, 49(3): 656-671</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Session 7: Platform M&amp;A and innovations</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de-DE" w:eastAsia="ko-KR"/>
        </w:rPr>
        <w:t xml:space="preserve">- Gilbert, R. J., &amp; </w:t>
      </w:r>
      <w:proofErr w:type="spellStart"/>
      <w:r w:rsidRPr="00887077">
        <w:rPr>
          <w:rFonts w:asciiTheme="minorHAnsi" w:hAnsiTheme="minorHAnsi" w:cstheme="minorHAnsi"/>
          <w:bCs/>
          <w:sz w:val="24"/>
          <w:szCs w:val="24"/>
          <w:lang w:val="de-DE" w:eastAsia="ko-KR"/>
        </w:rPr>
        <w:t>Newbery</w:t>
      </w:r>
      <w:proofErr w:type="spellEnd"/>
      <w:r w:rsidRPr="00887077">
        <w:rPr>
          <w:rFonts w:asciiTheme="minorHAnsi" w:hAnsiTheme="minorHAnsi" w:cstheme="minorHAnsi"/>
          <w:bCs/>
          <w:sz w:val="24"/>
          <w:szCs w:val="24"/>
          <w:lang w:val="de-DE" w:eastAsia="ko-KR"/>
        </w:rPr>
        <w:t xml:space="preserve">, D. M. (1982). </w:t>
      </w:r>
      <w:r w:rsidRPr="00887077">
        <w:rPr>
          <w:rFonts w:asciiTheme="minorHAnsi" w:hAnsiTheme="minorHAnsi" w:cstheme="minorHAnsi"/>
          <w:bCs/>
          <w:sz w:val="24"/>
          <w:szCs w:val="24"/>
          <w:lang w:val="en-US" w:eastAsia="ko-KR"/>
        </w:rPr>
        <w:t xml:space="preserve">“Preemptive patenting and the persistence of monopoly”, The American Economic Review, 514-526. </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 xml:space="preserve">- Kevin Bryan and Erik </w:t>
      </w:r>
      <w:proofErr w:type="spellStart"/>
      <w:r w:rsidRPr="00887077">
        <w:rPr>
          <w:rFonts w:asciiTheme="minorHAnsi" w:hAnsiTheme="minorHAnsi" w:cstheme="minorHAnsi"/>
          <w:bCs/>
          <w:sz w:val="24"/>
          <w:szCs w:val="24"/>
          <w:lang w:val="en-US" w:eastAsia="ko-KR"/>
        </w:rPr>
        <w:t>Hovenkamp</w:t>
      </w:r>
      <w:proofErr w:type="spellEnd"/>
      <w:r w:rsidRPr="00887077">
        <w:rPr>
          <w:rFonts w:asciiTheme="minorHAnsi" w:hAnsiTheme="minorHAnsi" w:cstheme="minorHAnsi"/>
          <w:bCs/>
          <w:sz w:val="24"/>
          <w:szCs w:val="24"/>
          <w:lang w:val="en-US" w:eastAsia="ko-KR"/>
        </w:rPr>
        <w:t xml:space="preserve"> (forthcoming) “</w:t>
      </w:r>
      <w:r w:rsidRPr="00887077">
        <w:rPr>
          <w:rFonts w:asciiTheme="minorHAnsi" w:hAnsiTheme="minorHAnsi" w:cstheme="minorHAnsi"/>
          <w:bCs/>
          <w:color w:val="000000"/>
          <w:sz w:val="24"/>
          <w:szCs w:val="24"/>
          <w:lang w:val="en-US"/>
        </w:rPr>
        <w:t>Antitrust Limits on Startup Acquisitions”, Review of Industrial Organization</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Session 8: Other topics</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proofErr w:type="spellStart"/>
      <w:r w:rsidRPr="00887077">
        <w:rPr>
          <w:rFonts w:asciiTheme="minorHAnsi" w:hAnsiTheme="minorHAnsi" w:cstheme="minorHAnsi"/>
          <w:bCs/>
          <w:sz w:val="24"/>
          <w:szCs w:val="24"/>
          <w:lang w:val="en-US" w:eastAsia="ko-KR"/>
        </w:rPr>
        <w:t>i</w:t>
      </w:r>
      <w:proofErr w:type="spellEnd"/>
      <w:r w:rsidRPr="00887077">
        <w:rPr>
          <w:rFonts w:asciiTheme="minorHAnsi" w:hAnsiTheme="minorHAnsi" w:cstheme="minorHAnsi"/>
          <w:bCs/>
          <w:sz w:val="24"/>
          <w:szCs w:val="24"/>
          <w:lang w:val="en-US" w:eastAsia="ko-KR"/>
        </w:rPr>
        <w:t xml:space="preserve">) Tying and dynamic </w:t>
      </w:r>
      <w:proofErr w:type="gramStart"/>
      <w:r w:rsidRPr="00887077">
        <w:rPr>
          <w:rFonts w:asciiTheme="minorHAnsi" w:hAnsiTheme="minorHAnsi" w:cstheme="minorHAnsi"/>
          <w:bCs/>
          <w:sz w:val="24"/>
          <w:szCs w:val="24"/>
          <w:lang w:val="en-US" w:eastAsia="ko-KR"/>
        </w:rPr>
        <w:t>leverage</w:t>
      </w:r>
      <w:proofErr w:type="gramEnd"/>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w:t>
      </w:r>
      <w:r w:rsidRPr="00887077">
        <w:rPr>
          <w:rFonts w:asciiTheme="minorHAnsi" w:hAnsiTheme="minorHAnsi" w:cstheme="minorHAnsi"/>
          <w:bCs/>
          <w:sz w:val="24"/>
          <w:szCs w:val="24"/>
          <w:lang w:val="en-US" w:eastAsia="ko-KR"/>
        </w:rPr>
        <w:tab/>
        <w:t xml:space="preserve">Choi, Jay </w:t>
      </w:r>
      <w:proofErr w:type="spellStart"/>
      <w:r w:rsidRPr="00887077">
        <w:rPr>
          <w:rFonts w:asciiTheme="minorHAnsi" w:hAnsiTheme="minorHAnsi" w:cstheme="minorHAnsi"/>
          <w:bCs/>
          <w:sz w:val="24"/>
          <w:szCs w:val="24"/>
          <w:lang w:val="en-US" w:eastAsia="ko-KR"/>
        </w:rPr>
        <w:t>Pil</w:t>
      </w:r>
      <w:proofErr w:type="spellEnd"/>
      <w:r w:rsidRPr="00887077">
        <w:rPr>
          <w:rFonts w:asciiTheme="minorHAnsi" w:hAnsiTheme="minorHAnsi" w:cstheme="minorHAnsi"/>
          <w:bCs/>
          <w:sz w:val="24"/>
          <w:szCs w:val="24"/>
          <w:lang w:val="en-US" w:eastAsia="ko-KR"/>
        </w:rPr>
        <w:t xml:space="preserve"> (1996) “Preemptive R&amp;D, Rent Dissipation and the Leverage Theory”, Quarterly Journal of Economics, 1153-1181</w:t>
      </w:r>
    </w:p>
    <w:p w:rsidR="00887077" w:rsidRPr="00887077" w:rsidRDefault="00887077" w:rsidP="00887077">
      <w:pPr>
        <w:autoSpaceDE w:val="0"/>
        <w:autoSpaceDN w:val="0"/>
        <w:adjustRightInd w:val="0"/>
        <w:spacing w:after="0" w:line="240" w:lineRule="auto"/>
        <w:rPr>
          <w:rFonts w:asciiTheme="minorHAnsi" w:hAnsiTheme="minorHAnsi" w:cstheme="minorHAns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ii) Patent exhaustion</w:t>
      </w:r>
    </w:p>
    <w:p w:rsidR="00887077" w:rsidRDefault="00887077" w:rsidP="00887077">
      <w:pPr>
        <w:pStyle w:val="Paragraphedeliste"/>
        <w:numPr>
          <w:ilvl w:val="0"/>
          <w:numId w:val="7"/>
        </w:numPr>
        <w:autoSpaceDE w:val="0"/>
        <w:autoSpaceDN w:val="0"/>
        <w:adjustRightInd w:val="0"/>
        <w:spacing w:after="0" w:line="240" w:lineRule="auto"/>
        <w:rPr>
          <w:rFonts w:asciiTheme="minorHAnsi" w:hAnsiTheme="minorHAnsi" w:cstheme="minorHAnsi"/>
          <w:bCs/>
          <w:sz w:val="24"/>
          <w:szCs w:val="24"/>
          <w:lang w:val="en-US" w:eastAsia="ko-KR"/>
        </w:rPr>
      </w:pPr>
      <w:proofErr w:type="spellStart"/>
      <w:r w:rsidRPr="00887077">
        <w:rPr>
          <w:rFonts w:asciiTheme="minorHAnsi" w:hAnsiTheme="minorHAnsi" w:cstheme="minorHAnsi"/>
          <w:bCs/>
          <w:sz w:val="24"/>
          <w:szCs w:val="24"/>
          <w:lang w:val="en-US" w:eastAsia="ko-KR"/>
        </w:rPr>
        <w:t>Olena</w:t>
      </w:r>
      <w:proofErr w:type="spellEnd"/>
      <w:r w:rsidRPr="00887077">
        <w:rPr>
          <w:rFonts w:asciiTheme="minorHAnsi" w:hAnsiTheme="minorHAnsi" w:cstheme="minorHAnsi"/>
          <w:bCs/>
          <w:sz w:val="24"/>
          <w:szCs w:val="24"/>
          <w:lang w:val="en-US" w:eastAsia="ko-KR"/>
        </w:rPr>
        <w:t xml:space="preserve"> </w:t>
      </w:r>
      <w:proofErr w:type="spellStart"/>
      <w:r w:rsidRPr="00887077">
        <w:rPr>
          <w:rFonts w:asciiTheme="minorHAnsi" w:hAnsiTheme="minorHAnsi" w:cstheme="minorHAnsi"/>
          <w:bCs/>
          <w:sz w:val="24"/>
          <w:szCs w:val="24"/>
          <w:lang w:val="en-US" w:eastAsia="ko-KR"/>
        </w:rPr>
        <w:t>Ivus</w:t>
      </w:r>
      <w:proofErr w:type="spellEnd"/>
      <w:r w:rsidRPr="00887077">
        <w:rPr>
          <w:rFonts w:asciiTheme="minorHAnsi" w:hAnsiTheme="minorHAnsi" w:cstheme="minorHAnsi"/>
          <w:bCs/>
          <w:sz w:val="24"/>
          <w:szCs w:val="24"/>
          <w:lang w:val="en-US" w:eastAsia="ko-KR"/>
        </w:rPr>
        <w:t xml:space="preserve">, Edwin Lai and Ted </w:t>
      </w:r>
      <w:proofErr w:type="spellStart"/>
      <w:r w:rsidRPr="00887077">
        <w:rPr>
          <w:rFonts w:asciiTheme="minorHAnsi" w:hAnsiTheme="minorHAnsi" w:cstheme="minorHAnsi"/>
          <w:bCs/>
          <w:sz w:val="24"/>
          <w:szCs w:val="24"/>
          <w:lang w:val="en-US" w:eastAsia="ko-KR"/>
        </w:rPr>
        <w:t>Sichelman</w:t>
      </w:r>
      <w:proofErr w:type="spellEnd"/>
      <w:r w:rsidRPr="00887077">
        <w:rPr>
          <w:rFonts w:asciiTheme="minorHAnsi" w:hAnsiTheme="minorHAnsi" w:cstheme="minorHAnsi"/>
          <w:bCs/>
          <w:sz w:val="24"/>
          <w:szCs w:val="24"/>
          <w:lang w:val="en-US" w:eastAsia="ko-KR"/>
        </w:rPr>
        <w:t xml:space="preserve"> (2018) “An Economic model of Patent</w:t>
      </w:r>
    </w:p>
    <w:p w:rsidR="00887077" w:rsidRDefault="00887077" w:rsidP="00887077">
      <w:pPr>
        <w:pStyle w:val="Paragraphedeliste"/>
        <w:autoSpaceDE w:val="0"/>
        <w:autoSpaceDN w:val="0"/>
        <w:adjustRightInd w:val="0"/>
        <w:spacing w:after="0" w:line="240" w:lineRule="auto"/>
        <w:ind w:left="862"/>
        <w:rPr>
          <w:rFonts w:asciiTheme="minorHAnsi" w:hAnsiTheme="minorHAnsi" w:cstheme="minorHAnsi"/>
          <w:bCs/>
          <w:sz w:val="24"/>
          <w:szCs w:val="24"/>
          <w:lang w:val="en-US" w:eastAsia="ko-KR"/>
        </w:rPr>
      </w:pPr>
      <w:r>
        <w:rPr>
          <w:rFonts w:asciiTheme="minorHAnsi" w:hAnsiTheme="minorHAnsi" w:cstheme="minorHAnsi"/>
          <w:bCs/>
          <w:sz w:val="24"/>
          <w:szCs w:val="24"/>
          <w:lang w:val="en-US" w:eastAsia="ko-KR"/>
        </w:rPr>
        <w:t>Exhaustion</w:t>
      </w:r>
      <w:r w:rsidRPr="00887077">
        <w:rPr>
          <w:rFonts w:asciiTheme="minorHAnsi" w:hAnsiTheme="minorHAnsi" w:cstheme="minorHAnsi"/>
          <w:bCs/>
          <w:sz w:val="24"/>
          <w:szCs w:val="24"/>
          <w:lang w:val="en-US" w:eastAsia="ko-KR"/>
        </w:rPr>
        <w:t>”</w:t>
      </w:r>
    </w:p>
    <w:p w:rsidR="00887077" w:rsidRPr="00887077" w:rsidRDefault="00887077" w:rsidP="00887077">
      <w:pPr>
        <w:pStyle w:val="Paragraphedeliste"/>
        <w:autoSpaceDE w:val="0"/>
        <w:autoSpaceDN w:val="0"/>
        <w:adjustRightInd w:val="0"/>
        <w:spacing w:after="0" w:line="240" w:lineRule="auto"/>
        <w:ind w:left="862"/>
        <w:rPr>
          <w:rFonts w:asciiTheme="minorHAnsi" w:hAnsiTheme="minorHAnsi" w:cstheme="minorHAns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r w:rsidRPr="00887077">
        <w:rPr>
          <w:rFonts w:asciiTheme="minorHAnsi" w:hAnsiTheme="minorHAnsi" w:cstheme="minorHAnsi"/>
          <w:bCs/>
          <w:sz w:val="24"/>
          <w:szCs w:val="24"/>
          <w:lang w:val="en-US" w:eastAsia="ko-KR"/>
        </w:rPr>
        <w:t>iii) Two-sided platforms and biase</w:t>
      </w:r>
      <w:r>
        <w:rPr>
          <w:rFonts w:asciiTheme="minorHAnsi" w:hAnsiTheme="minorHAnsi" w:cstheme="minorHAnsi"/>
          <w:bCs/>
          <w:sz w:val="24"/>
          <w:szCs w:val="24"/>
          <w:lang w:val="en-US" w:eastAsia="ko-KR"/>
        </w:rPr>
        <w:t>s</w:t>
      </w:r>
      <w:r w:rsidRPr="00887077">
        <w:rPr>
          <w:rFonts w:asciiTheme="minorHAnsi" w:hAnsiTheme="minorHAnsi" w:cstheme="minorHAnsi"/>
          <w:bCs/>
          <w:sz w:val="24"/>
          <w:szCs w:val="24"/>
          <w:lang w:val="en-US" w:eastAsia="ko-KR"/>
        </w:rPr>
        <w:t xml:space="preserve"> in technology adoption</w:t>
      </w: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p>
    <w:p w:rsidR="00887077" w:rsidRPr="00887077" w:rsidRDefault="00887077" w:rsidP="00887077">
      <w:pPr>
        <w:autoSpaceDE w:val="0"/>
        <w:autoSpaceDN w:val="0"/>
        <w:adjustRightInd w:val="0"/>
        <w:spacing w:after="0" w:line="240" w:lineRule="auto"/>
        <w:ind w:left="502"/>
        <w:rPr>
          <w:rFonts w:asciiTheme="minorHAnsi" w:hAnsiTheme="minorHAnsi" w:cstheme="minorHAnsi"/>
          <w:bCs/>
          <w:sz w:val="24"/>
          <w:szCs w:val="24"/>
          <w:lang w:val="en-US" w:eastAsia="ko-KR"/>
        </w:rPr>
      </w:pPr>
    </w:p>
    <w:p w:rsidR="00887077" w:rsidRPr="00854658" w:rsidRDefault="00887077" w:rsidP="00887077">
      <w:pPr>
        <w:autoSpaceDE w:val="0"/>
        <w:autoSpaceDN w:val="0"/>
        <w:adjustRightInd w:val="0"/>
        <w:spacing w:after="0" w:line="240" w:lineRule="auto"/>
        <w:ind w:left="502"/>
        <w:rPr>
          <w:rFonts w:cs="Calibri"/>
          <w:sz w:val="24"/>
          <w:szCs w:val="24"/>
          <w:lang w:val="en-US"/>
        </w:rPr>
      </w:pPr>
      <w:r w:rsidRPr="00854658">
        <w:rPr>
          <w:rFonts w:asciiTheme="minorHAnsi" w:hAnsiTheme="minorHAnsi" w:cstheme="minorHAnsi"/>
          <w:bCs/>
          <w:sz w:val="24"/>
          <w:szCs w:val="24"/>
          <w:lang w:val="en-US" w:eastAsia="ko-KR"/>
        </w:rPr>
        <w:t>Session 9- 10: Student presentations</w:t>
      </w:r>
    </w:p>
    <w:p w:rsidR="00887077" w:rsidRPr="00854658" w:rsidRDefault="00887077" w:rsidP="00887077">
      <w:pPr>
        <w:rPr>
          <w:rFonts w:cs="Calibri"/>
          <w:sz w:val="24"/>
          <w:szCs w:val="24"/>
          <w:lang w:val="en-US"/>
        </w:rPr>
      </w:pPr>
    </w:p>
    <w:p w:rsidR="000F7358" w:rsidRPr="000F7358" w:rsidRDefault="000F7358">
      <w:pPr>
        <w:rPr>
          <w:lang w:val="en-US"/>
        </w:rPr>
      </w:pPr>
    </w:p>
    <w:p w:rsidR="00546D4F" w:rsidRPr="00854658" w:rsidRDefault="00546D4F" w:rsidP="00546D4F">
      <w:pPr>
        <w:rPr>
          <w:rFonts w:asciiTheme="minorHAnsi" w:hAnsiTheme="minorHAnsi"/>
          <w:b/>
          <w:u w:val="single"/>
          <w:lang w:val="en-US"/>
        </w:rPr>
      </w:pPr>
      <w:r w:rsidRPr="00854658">
        <w:rPr>
          <w:rFonts w:ascii="Calibri" w:eastAsia="Calibri" w:hAnsi="Calibri"/>
          <w:b/>
          <w:u w:val="single"/>
          <w:lang w:val="en-US"/>
        </w:rPr>
        <w:t xml:space="preserve">Distance learning </w:t>
      </w:r>
      <w:r w:rsidRPr="00854658">
        <w:rPr>
          <w:rFonts w:asciiTheme="minorHAnsi" w:hAnsiTheme="minorHAnsi"/>
          <w:b/>
          <w:u w:val="single"/>
          <w:lang w:val="en-US"/>
        </w:rPr>
        <w:t xml:space="preserve">– </w:t>
      </w:r>
      <w:proofErr w:type="spellStart"/>
      <w:r w:rsidRPr="00854658">
        <w:rPr>
          <w:rFonts w:asciiTheme="minorHAnsi" w:hAnsiTheme="minorHAnsi"/>
          <w:b/>
          <w:u w:val="single"/>
          <w:lang w:val="en-US"/>
        </w:rPr>
        <w:t>Enseignement</w:t>
      </w:r>
      <w:proofErr w:type="spellEnd"/>
      <w:r w:rsidRPr="00854658">
        <w:rPr>
          <w:rFonts w:asciiTheme="minorHAnsi" w:hAnsiTheme="minorHAnsi"/>
          <w:b/>
          <w:u w:val="single"/>
          <w:lang w:val="en-US"/>
        </w:rPr>
        <w:t xml:space="preserve"> à </w:t>
      </w:r>
      <w:proofErr w:type="gramStart"/>
      <w:r w:rsidRPr="00854658">
        <w:rPr>
          <w:rFonts w:asciiTheme="minorHAnsi" w:hAnsiTheme="minorHAnsi"/>
          <w:b/>
          <w:u w:val="single"/>
          <w:lang w:val="en-US"/>
        </w:rPr>
        <w:t>distance :</w:t>
      </w:r>
      <w:proofErr w:type="gramEnd"/>
    </w:p>
    <w:p w:rsidR="00854658" w:rsidRPr="00854658" w:rsidRDefault="00546D4F" w:rsidP="00854658">
      <w:pPr>
        <w:pStyle w:val="Paragraphedeliste"/>
        <w:numPr>
          <w:ilvl w:val="0"/>
          <w:numId w:val="5"/>
        </w:numPr>
        <w:rPr>
          <w:rFonts w:asciiTheme="minorHAnsi" w:hAnsiTheme="minorHAnsi" w:cstheme="minorHAnsi"/>
          <w:noProof/>
        </w:rPr>
      </w:pPr>
      <w:r w:rsidRPr="00854658">
        <w:rPr>
          <w:rFonts w:asciiTheme="minorHAnsi" w:eastAsiaTheme="minorEastAsia" w:hAnsiTheme="minorHAnsi" w:cstheme="minorHAnsi"/>
          <w:iCs/>
          <w:lang w:eastAsia="fr-FR"/>
        </w:rPr>
        <w:t xml:space="preserve"> </w:t>
      </w:r>
      <w:r w:rsidR="00854658" w:rsidRPr="00854658">
        <w:rPr>
          <w:rFonts w:asciiTheme="minorHAnsi" w:hAnsiTheme="minorHAnsi" w:cstheme="minorHAnsi"/>
          <w:iCs/>
        </w:rPr>
        <w:t xml:space="preserve">Interactive </w:t>
      </w:r>
      <w:proofErr w:type="spellStart"/>
      <w:r w:rsidR="00854658" w:rsidRPr="00854658">
        <w:rPr>
          <w:rFonts w:asciiTheme="minorHAnsi" w:hAnsiTheme="minorHAnsi" w:cstheme="minorHAnsi"/>
          <w:iCs/>
        </w:rPr>
        <w:t>virtual</w:t>
      </w:r>
      <w:proofErr w:type="spellEnd"/>
      <w:r w:rsidR="00854658" w:rsidRPr="00854658">
        <w:rPr>
          <w:rFonts w:asciiTheme="minorHAnsi" w:hAnsiTheme="minorHAnsi" w:cstheme="minorHAnsi"/>
          <w:iCs/>
        </w:rPr>
        <w:t xml:space="preserve"> </w:t>
      </w:r>
      <w:proofErr w:type="spellStart"/>
      <w:r w:rsidR="00854658" w:rsidRPr="00854658">
        <w:rPr>
          <w:rFonts w:asciiTheme="minorHAnsi" w:hAnsiTheme="minorHAnsi" w:cstheme="minorHAnsi"/>
          <w:iCs/>
        </w:rPr>
        <w:t>classrooms</w:t>
      </w:r>
      <w:proofErr w:type="spellEnd"/>
      <w:r w:rsidR="00854658" w:rsidRPr="00854658">
        <w:rPr>
          <w:rFonts w:asciiTheme="minorHAnsi" w:hAnsiTheme="minorHAnsi" w:cstheme="minorHAnsi"/>
          <w:iCs/>
        </w:rPr>
        <w:t xml:space="preserve"> / </w:t>
      </w:r>
      <w:r w:rsidR="00854658" w:rsidRPr="00854658">
        <w:rPr>
          <w:rFonts w:asciiTheme="minorHAnsi" w:hAnsiTheme="minorHAnsi" w:cstheme="minorHAnsi"/>
          <w:noProof/>
        </w:rPr>
        <w:t xml:space="preserve">Classe en ligne interactive </w:t>
      </w:r>
    </w:p>
    <w:p w:rsidR="00854658" w:rsidRPr="00854658" w:rsidRDefault="00854658" w:rsidP="00854658">
      <w:pPr>
        <w:pStyle w:val="Paragraphedeliste"/>
        <w:numPr>
          <w:ilvl w:val="0"/>
          <w:numId w:val="5"/>
        </w:numPr>
        <w:rPr>
          <w:rFonts w:asciiTheme="minorHAnsi" w:hAnsiTheme="minorHAnsi" w:cstheme="minorHAnsi"/>
          <w:noProof/>
          <w:lang w:val="en-US"/>
        </w:rPr>
      </w:pPr>
      <w:r w:rsidRPr="00854658">
        <w:rPr>
          <w:rFonts w:asciiTheme="minorHAnsi" w:hAnsiTheme="minorHAnsi" w:cstheme="minorHAnsi"/>
          <w:iCs/>
          <w:lang w:val="en-US"/>
        </w:rPr>
        <w:t>MCQ tests and other online exercises and assignments</w:t>
      </w:r>
    </w:p>
    <w:p w:rsidR="00F61EC5" w:rsidRPr="00887077" w:rsidRDefault="00F61EC5">
      <w:pPr>
        <w:pStyle w:val="Corpsdetexte"/>
        <w:tabs>
          <w:tab w:val="left" w:pos="0"/>
        </w:tabs>
        <w:spacing w:after="142" w:line="240" w:lineRule="auto"/>
        <w:ind w:left="1131"/>
        <w:rPr>
          <w:rFonts w:ascii="Calibri" w:eastAsiaTheme="minorEastAsia" w:hAnsi="Calibri"/>
          <w:lang w:val="en-US" w:eastAsia="fr-FR"/>
        </w:rPr>
      </w:pPr>
    </w:p>
    <w:sectPr w:rsidR="00F61EC5" w:rsidRPr="00887077">
      <w:headerReference w:type="default" r:id="rId7"/>
      <w:headerReference w:type="first" r:id="rId8"/>
      <w:pgSz w:w="11906" w:h="16838"/>
      <w:pgMar w:top="1417" w:right="1417" w:bottom="141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A0" w:rsidRDefault="00CC5FA0">
      <w:pPr>
        <w:spacing w:after="0" w:line="240" w:lineRule="auto"/>
      </w:pPr>
      <w:r>
        <w:separator/>
      </w:r>
    </w:p>
  </w:endnote>
  <w:endnote w:type="continuationSeparator" w:id="0">
    <w:p w:rsidR="00CC5FA0" w:rsidRDefault="00CC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A0" w:rsidRDefault="00CC5FA0">
      <w:pPr>
        <w:spacing w:after="0" w:line="240" w:lineRule="auto"/>
      </w:pPr>
      <w:r>
        <w:separator/>
      </w:r>
    </w:p>
  </w:footnote>
  <w:footnote w:type="continuationSeparator" w:id="0">
    <w:p w:rsidR="00CC5FA0" w:rsidRDefault="00CC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C5" w:rsidRDefault="00F61E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C5" w:rsidRDefault="003331A2">
    <w:pPr>
      <w:pStyle w:val="En-tte"/>
    </w:pPr>
    <w:r>
      <w:rPr>
        <w:noProof/>
        <w:lang w:eastAsia="fr-FR"/>
      </w:rPr>
      <w:drawing>
        <wp:inline distT="0" distB="0" distL="0" distR="0">
          <wp:extent cx="1905000"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05000" cy="828675"/>
                  </a:xfrm>
                  <a:prstGeom prst="rect">
                    <a:avLst/>
                  </a:prstGeom>
                </pic:spPr>
              </pic:pic>
            </a:graphicData>
          </a:graphic>
        </wp:inline>
      </w:drawing>
    </w:r>
    <w:r>
      <w:rPr>
        <w:noProof/>
        <w:lang w:eastAsia="fr-FR"/>
      </w:rPr>
      <w:drawing>
        <wp:anchor distT="0" distB="0" distL="114300" distR="114300" simplePos="0" relativeHeight="2" behindDoc="0" locked="0" layoutInCell="1" allowOverlap="1">
          <wp:simplePos x="0" y="0"/>
          <wp:positionH relativeFrom="column">
            <wp:posOffset>5202555</wp:posOffset>
          </wp:positionH>
          <wp:positionV relativeFrom="paragraph">
            <wp:posOffset>-217170</wp:posOffset>
          </wp:positionV>
          <wp:extent cx="734060" cy="741680"/>
          <wp:effectExtent l="0" t="0" r="0" b="0"/>
          <wp:wrapTight wrapText="bothSides">
            <wp:wrapPolygon edited="0">
              <wp:start x="-37" y="0"/>
              <wp:lineTo x="-37" y="20962"/>
              <wp:lineTo x="21219" y="20962"/>
              <wp:lineTo x="21219" y="0"/>
              <wp:lineTo x="-37" y="0"/>
            </wp:wrapPolygon>
          </wp:wrapTight>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2"/>
                  <a:stretch>
                    <a:fillRect/>
                  </a:stretch>
                </pic:blipFill>
                <pic:spPr bwMode="auto">
                  <a:xfrm>
                    <a:off x="0" y="0"/>
                    <a:ext cx="734060" cy="741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B1"/>
    <w:multiLevelType w:val="hybridMultilevel"/>
    <w:tmpl w:val="73028A30"/>
    <w:lvl w:ilvl="0" w:tplc="5390535C">
      <w:start w:val="3"/>
      <w:numFmt w:val="bullet"/>
      <w:lvlText w:val="-"/>
      <w:lvlJc w:val="left"/>
      <w:pPr>
        <w:ind w:left="862" w:hanging="360"/>
      </w:pPr>
      <w:rPr>
        <w:rFonts w:ascii="Calibri" w:eastAsia="Malgun Gothic"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20451DA"/>
    <w:multiLevelType w:val="hybridMultilevel"/>
    <w:tmpl w:val="FD46FBA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5126DCF"/>
    <w:multiLevelType w:val="multilevel"/>
    <w:tmpl w:val="E7DEB3B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A7F2BC6"/>
    <w:multiLevelType w:val="multilevel"/>
    <w:tmpl w:val="2AE4D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AC03442"/>
    <w:multiLevelType w:val="hybridMultilevel"/>
    <w:tmpl w:val="6694CEBE"/>
    <w:lvl w:ilvl="0" w:tplc="D3BEDE14">
      <w:start w:val="2"/>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5C085C69"/>
    <w:multiLevelType w:val="multilevel"/>
    <w:tmpl w:val="C37ABBD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6B20040D"/>
    <w:multiLevelType w:val="multilevel"/>
    <w:tmpl w:val="3448104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C5"/>
    <w:rsid w:val="000F7358"/>
    <w:rsid w:val="00172688"/>
    <w:rsid w:val="0022771D"/>
    <w:rsid w:val="003331A2"/>
    <w:rsid w:val="00546D4F"/>
    <w:rsid w:val="006235C6"/>
    <w:rsid w:val="00854658"/>
    <w:rsid w:val="00887077"/>
    <w:rsid w:val="00CC5FA0"/>
    <w:rsid w:val="00CD7760"/>
    <w:rsid w:val="00F32A54"/>
    <w:rsid w:val="00F61EC5"/>
    <w:rsid w:val="00FD389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7FBF"/>
  <w15:docId w15:val="{26CEC84D-54F2-4996-9073-9DBFAF75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E2207"/>
  </w:style>
  <w:style w:type="character" w:customStyle="1" w:styleId="PieddepageCar">
    <w:name w:val="Pied de page Car"/>
    <w:basedOn w:val="Policepardfaut"/>
    <w:link w:val="Pieddepage"/>
    <w:uiPriority w:val="99"/>
    <w:qFormat/>
    <w:rsid w:val="009B6E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uiPriority w:val="99"/>
    <w:unhideWhenUsed/>
    <w:rsid w:val="00BE2207"/>
    <w:pPr>
      <w:tabs>
        <w:tab w:val="center" w:pos="4536"/>
        <w:tab w:val="right" w:pos="9072"/>
      </w:tabs>
      <w:spacing w:after="0" w:line="240" w:lineRule="auto"/>
    </w:pPr>
  </w:style>
  <w:style w:type="paragraph" w:styleId="Pieddepage">
    <w:name w:val="footer"/>
    <w:basedOn w:val="Normal"/>
    <w:link w:val="PieddepageCar"/>
    <w:uiPriority w:val="99"/>
    <w:unhideWhenUsed/>
    <w:rsid w:val="009B6EED"/>
    <w:pPr>
      <w:tabs>
        <w:tab w:val="center" w:pos="4536"/>
        <w:tab w:val="right" w:pos="9072"/>
      </w:tabs>
      <w:spacing w:after="0" w:line="240" w:lineRule="auto"/>
    </w:pPr>
  </w:style>
  <w:style w:type="table" w:styleId="Grilledutableau">
    <w:name w:val="Table Grid"/>
    <w:basedOn w:val="TableauNormal"/>
    <w:uiPriority w:val="59"/>
    <w:rsid w:val="00BE2207"/>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32A54"/>
    <w:rPr>
      <w:b/>
      <w:bCs/>
    </w:rPr>
  </w:style>
  <w:style w:type="paragraph" w:customStyle="1" w:styleId="Paragraphedeliste1">
    <w:name w:val="Paragraphe de liste1"/>
    <w:basedOn w:val="Normal"/>
    <w:rsid w:val="00F32A54"/>
    <w:pPr>
      <w:ind w:left="720"/>
      <w:contextualSpacing/>
    </w:pPr>
    <w:rPr>
      <w:rFonts w:ascii="Calibri" w:eastAsia="Malgun Gothic" w:hAnsi="Calibri" w:cs="Times New Roman"/>
    </w:rPr>
  </w:style>
  <w:style w:type="paragraph" w:styleId="Paragraphedeliste">
    <w:name w:val="List Paragraph"/>
    <w:basedOn w:val="Normal"/>
    <w:uiPriority w:val="34"/>
    <w:qFormat/>
    <w:rsid w:val="00546D4F"/>
    <w:pPr>
      <w:ind w:left="720"/>
      <w:contextualSpacing/>
    </w:pPr>
  </w:style>
  <w:style w:type="paragraph" w:customStyle="1" w:styleId="Paragraphedeliste2">
    <w:name w:val="Paragraphe de liste2"/>
    <w:basedOn w:val="Normal"/>
    <w:rsid w:val="00887077"/>
    <w:pPr>
      <w:ind w:left="720"/>
      <w:contextualSpacing/>
    </w:pPr>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Concina</dc:creator>
  <dc:description/>
  <cp:lastModifiedBy>REBECA DE LAS HERAS DE PABLO</cp:lastModifiedBy>
  <cp:revision>3</cp:revision>
  <dcterms:created xsi:type="dcterms:W3CDTF">2020-09-16T12:11:00Z</dcterms:created>
  <dcterms:modified xsi:type="dcterms:W3CDTF">2021-10-15T14:35:00Z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UT1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