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8CE" w:rsidRDefault="00E458CE">
      <w:bookmarkStart w:id="0" w:name="_GoBack"/>
      <w:bookmarkEnd w:id="0"/>
    </w:p>
    <w:p w:rsidR="00E458CE" w:rsidRDefault="00F169A4">
      <w:pPr>
        <w:jc w:val="center"/>
        <w:rPr>
          <w:b/>
          <w:sz w:val="32"/>
          <w:szCs w:val="32"/>
          <w:lang w:val="en-US"/>
        </w:rPr>
      </w:pPr>
      <w:proofErr w:type="spellStart"/>
      <w:r>
        <w:rPr>
          <w:b/>
          <w:sz w:val="32"/>
          <w:szCs w:val="32"/>
          <w:lang w:val="en-US"/>
        </w:rPr>
        <w:t>Economie</w:t>
      </w:r>
      <w:proofErr w:type="spellEnd"/>
      <w:r>
        <w:rPr>
          <w:b/>
          <w:sz w:val="32"/>
          <w:szCs w:val="32"/>
          <w:lang w:val="en-US"/>
        </w:rPr>
        <w:t xml:space="preserve"> </w:t>
      </w:r>
      <w:proofErr w:type="spellStart"/>
      <w:r>
        <w:rPr>
          <w:b/>
          <w:sz w:val="32"/>
          <w:szCs w:val="32"/>
          <w:lang w:val="en-US"/>
        </w:rPr>
        <w:t>Publique</w:t>
      </w:r>
      <w:proofErr w:type="spellEnd"/>
    </w:p>
    <w:tbl>
      <w:tblPr>
        <w:tblStyle w:val="Grilledutableau"/>
        <w:tblW w:w="9062" w:type="dxa"/>
        <w:tblLook w:val="04A0" w:firstRow="1" w:lastRow="0" w:firstColumn="1" w:lastColumn="0" w:noHBand="0" w:noVBand="1"/>
      </w:tblPr>
      <w:tblGrid>
        <w:gridCol w:w="4674"/>
        <w:gridCol w:w="4388"/>
      </w:tblGrid>
      <w:tr w:rsidR="00E458CE">
        <w:tc>
          <w:tcPr>
            <w:tcW w:w="4673" w:type="dxa"/>
            <w:shd w:val="clear" w:color="auto" w:fill="auto"/>
          </w:tcPr>
          <w:p w:rsidR="00E458CE" w:rsidRDefault="000112D4">
            <w:pPr>
              <w:spacing w:after="0" w:line="240" w:lineRule="auto"/>
            </w:pPr>
            <w:r>
              <w:rPr>
                <w:rFonts w:ascii="Calibri" w:hAnsi="Calibri"/>
              </w:rPr>
              <w:t xml:space="preserve">Course </w:t>
            </w:r>
            <w:proofErr w:type="spellStart"/>
            <w:r>
              <w:rPr>
                <w:rFonts w:ascii="Calibri" w:hAnsi="Calibri"/>
              </w:rPr>
              <w:t>title</w:t>
            </w:r>
            <w:proofErr w:type="spellEnd"/>
            <w:r>
              <w:rPr>
                <w:rFonts w:ascii="Calibri" w:hAnsi="Calibri"/>
              </w:rPr>
              <w:t xml:space="preserve"> – Intitulé du cours</w:t>
            </w:r>
          </w:p>
        </w:tc>
        <w:tc>
          <w:tcPr>
            <w:tcW w:w="4388" w:type="dxa"/>
            <w:shd w:val="clear" w:color="auto" w:fill="auto"/>
          </w:tcPr>
          <w:p w:rsidR="00E458CE" w:rsidRPr="00F169A4" w:rsidRDefault="00F169A4">
            <w:pPr>
              <w:spacing w:after="0" w:line="240" w:lineRule="auto"/>
            </w:pPr>
            <w:r>
              <w:t>Economie Publique</w:t>
            </w:r>
          </w:p>
        </w:tc>
      </w:tr>
      <w:tr w:rsidR="00E458CE">
        <w:tc>
          <w:tcPr>
            <w:tcW w:w="4673" w:type="dxa"/>
            <w:shd w:val="clear" w:color="auto" w:fill="auto"/>
          </w:tcPr>
          <w:p w:rsidR="00E458CE" w:rsidRDefault="000112D4">
            <w:pPr>
              <w:spacing w:after="0" w:line="240" w:lineRule="auto"/>
            </w:pPr>
            <w:proofErr w:type="spellStart"/>
            <w:r>
              <w:rPr>
                <w:rFonts w:ascii="Calibri" w:hAnsi="Calibri"/>
              </w:rPr>
              <w:t>Level</w:t>
            </w:r>
            <w:proofErr w:type="spellEnd"/>
            <w:r>
              <w:rPr>
                <w:rFonts w:ascii="Calibri" w:hAnsi="Calibri"/>
              </w:rPr>
              <w:t xml:space="preserve"> / </w:t>
            </w:r>
            <w:proofErr w:type="spellStart"/>
            <w:r>
              <w:rPr>
                <w:rFonts w:ascii="Calibri" w:hAnsi="Calibri"/>
              </w:rPr>
              <w:t>Semester</w:t>
            </w:r>
            <w:proofErr w:type="spellEnd"/>
            <w:r>
              <w:rPr>
                <w:rFonts w:ascii="Calibri" w:hAnsi="Calibri"/>
              </w:rPr>
              <w:t xml:space="preserve"> – Niveau /semestre</w:t>
            </w:r>
          </w:p>
        </w:tc>
        <w:tc>
          <w:tcPr>
            <w:tcW w:w="4388" w:type="dxa"/>
            <w:shd w:val="clear" w:color="auto" w:fill="auto"/>
          </w:tcPr>
          <w:p w:rsidR="00E458CE" w:rsidRDefault="00F169A4">
            <w:pPr>
              <w:spacing w:after="0" w:line="240" w:lineRule="auto"/>
            </w:pPr>
            <w:r>
              <w:t>L3/S2</w:t>
            </w:r>
          </w:p>
        </w:tc>
      </w:tr>
      <w:tr w:rsidR="00E458CE">
        <w:tc>
          <w:tcPr>
            <w:tcW w:w="4673" w:type="dxa"/>
            <w:shd w:val="clear" w:color="auto" w:fill="auto"/>
          </w:tcPr>
          <w:p w:rsidR="00E458CE" w:rsidRDefault="000112D4">
            <w:pPr>
              <w:spacing w:after="0" w:line="240" w:lineRule="auto"/>
            </w:pPr>
            <w:proofErr w:type="spellStart"/>
            <w:r>
              <w:rPr>
                <w:rFonts w:ascii="Calibri" w:hAnsi="Calibri"/>
              </w:rPr>
              <w:t>School</w:t>
            </w:r>
            <w:proofErr w:type="spellEnd"/>
            <w:r>
              <w:rPr>
                <w:rFonts w:ascii="Calibri" w:hAnsi="Calibri"/>
              </w:rPr>
              <w:t xml:space="preserve"> – Composante </w:t>
            </w:r>
          </w:p>
        </w:tc>
        <w:tc>
          <w:tcPr>
            <w:tcW w:w="4388" w:type="dxa"/>
            <w:shd w:val="clear" w:color="auto" w:fill="auto"/>
          </w:tcPr>
          <w:p w:rsidR="00E458CE" w:rsidRDefault="000112D4">
            <w:pPr>
              <w:spacing w:after="0" w:line="240" w:lineRule="auto"/>
            </w:pPr>
            <w:r>
              <w:rPr>
                <w:rFonts w:ascii="Calibri" w:hAnsi="Calibri"/>
              </w:rPr>
              <w:t>Ecole d'Economie de Toulouse</w:t>
            </w:r>
          </w:p>
        </w:tc>
      </w:tr>
      <w:tr w:rsidR="00E458CE">
        <w:tc>
          <w:tcPr>
            <w:tcW w:w="4673" w:type="dxa"/>
            <w:shd w:val="clear" w:color="auto" w:fill="auto"/>
          </w:tcPr>
          <w:p w:rsidR="00E458CE" w:rsidRDefault="000112D4">
            <w:pPr>
              <w:spacing w:after="0" w:line="240" w:lineRule="auto"/>
            </w:pPr>
            <w:r>
              <w:rPr>
                <w:rFonts w:ascii="Calibri" w:hAnsi="Calibri"/>
              </w:rPr>
              <w:t>Teacher – Enseignant responsable</w:t>
            </w:r>
          </w:p>
        </w:tc>
        <w:tc>
          <w:tcPr>
            <w:tcW w:w="4388" w:type="dxa"/>
            <w:shd w:val="clear" w:color="auto" w:fill="auto"/>
          </w:tcPr>
          <w:p w:rsidR="00E458CE" w:rsidRDefault="00F169A4">
            <w:pPr>
              <w:spacing w:after="0" w:line="240" w:lineRule="auto"/>
            </w:pPr>
            <w:r>
              <w:t>LOZACHMEUR Jean-Marie</w:t>
            </w:r>
          </w:p>
        </w:tc>
      </w:tr>
      <w:tr w:rsidR="00E458CE" w:rsidRPr="00BC1D20">
        <w:tc>
          <w:tcPr>
            <w:tcW w:w="4673" w:type="dxa"/>
            <w:shd w:val="clear" w:color="auto" w:fill="auto"/>
          </w:tcPr>
          <w:p w:rsidR="00E458CE" w:rsidRDefault="000112D4">
            <w:pPr>
              <w:spacing w:after="0" w:line="240" w:lineRule="auto"/>
              <w:rPr>
                <w:lang w:val="en-US"/>
              </w:rPr>
            </w:pPr>
            <w:r>
              <w:rPr>
                <w:rFonts w:ascii="Calibri" w:hAnsi="Calibri"/>
                <w:lang w:val="en-US"/>
              </w:rPr>
              <w:t xml:space="preserve">Other teacher(s) – </w:t>
            </w:r>
            <w:proofErr w:type="spellStart"/>
            <w:r>
              <w:rPr>
                <w:rFonts w:ascii="Calibri" w:hAnsi="Calibri"/>
                <w:lang w:val="en-US"/>
              </w:rPr>
              <w:t>Autre</w:t>
            </w:r>
            <w:proofErr w:type="spellEnd"/>
            <w:r>
              <w:rPr>
                <w:rFonts w:ascii="Calibri" w:hAnsi="Calibri"/>
                <w:lang w:val="en-US"/>
              </w:rPr>
              <w:t xml:space="preserve">(s) </w:t>
            </w:r>
            <w:proofErr w:type="spellStart"/>
            <w:r>
              <w:rPr>
                <w:rFonts w:ascii="Calibri" w:hAnsi="Calibri"/>
                <w:lang w:val="en-US"/>
              </w:rPr>
              <w:t>enseignant</w:t>
            </w:r>
            <w:proofErr w:type="spellEnd"/>
            <w:r>
              <w:rPr>
                <w:rFonts w:ascii="Calibri" w:hAnsi="Calibri"/>
                <w:lang w:val="en-US"/>
              </w:rPr>
              <w:t>(s)</w:t>
            </w:r>
          </w:p>
        </w:tc>
        <w:tc>
          <w:tcPr>
            <w:tcW w:w="4388" w:type="dxa"/>
            <w:shd w:val="clear" w:color="auto" w:fill="auto"/>
          </w:tcPr>
          <w:p w:rsidR="00E458CE" w:rsidRDefault="00E458CE">
            <w:pPr>
              <w:spacing w:after="0" w:line="240" w:lineRule="auto"/>
              <w:rPr>
                <w:lang w:val="en-US"/>
              </w:rPr>
            </w:pPr>
          </w:p>
        </w:tc>
      </w:tr>
      <w:tr w:rsidR="00E458CE" w:rsidRPr="00BC1D20">
        <w:tc>
          <w:tcPr>
            <w:tcW w:w="4673" w:type="dxa"/>
            <w:shd w:val="clear" w:color="auto" w:fill="auto"/>
          </w:tcPr>
          <w:p w:rsidR="00E458CE" w:rsidRDefault="000112D4">
            <w:pPr>
              <w:spacing w:after="0" w:line="240" w:lineRule="auto"/>
              <w:rPr>
                <w:lang w:val="en-US"/>
              </w:rPr>
            </w:pPr>
            <w:r>
              <w:rPr>
                <w:rFonts w:ascii="Calibri" w:hAnsi="Calibri"/>
                <w:lang w:val="en-US"/>
              </w:rPr>
              <w:t xml:space="preserve">Other teacher(s) – </w:t>
            </w:r>
            <w:proofErr w:type="spellStart"/>
            <w:r>
              <w:rPr>
                <w:rFonts w:ascii="Calibri" w:hAnsi="Calibri"/>
                <w:lang w:val="en-US"/>
              </w:rPr>
              <w:t>Autre</w:t>
            </w:r>
            <w:proofErr w:type="spellEnd"/>
            <w:r>
              <w:rPr>
                <w:rFonts w:ascii="Calibri" w:hAnsi="Calibri"/>
                <w:lang w:val="en-US"/>
              </w:rPr>
              <w:t xml:space="preserve">(s) </w:t>
            </w:r>
            <w:proofErr w:type="spellStart"/>
            <w:r>
              <w:rPr>
                <w:rFonts w:ascii="Calibri" w:hAnsi="Calibri"/>
                <w:lang w:val="en-US"/>
              </w:rPr>
              <w:t>enseignant</w:t>
            </w:r>
            <w:proofErr w:type="spellEnd"/>
            <w:r>
              <w:rPr>
                <w:rFonts w:ascii="Calibri" w:hAnsi="Calibri"/>
                <w:lang w:val="en-US"/>
              </w:rPr>
              <w:t>(s)</w:t>
            </w:r>
          </w:p>
        </w:tc>
        <w:tc>
          <w:tcPr>
            <w:tcW w:w="4388" w:type="dxa"/>
            <w:shd w:val="clear" w:color="auto" w:fill="auto"/>
          </w:tcPr>
          <w:p w:rsidR="00E458CE" w:rsidRDefault="00E458CE">
            <w:pPr>
              <w:spacing w:after="0" w:line="240" w:lineRule="auto"/>
              <w:rPr>
                <w:lang w:val="en-US"/>
              </w:rPr>
            </w:pPr>
          </w:p>
        </w:tc>
      </w:tr>
      <w:tr w:rsidR="00E458CE" w:rsidRPr="00BC1D20">
        <w:tc>
          <w:tcPr>
            <w:tcW w:w="4673" w:type="dxa"/>
            <w:shd w:val="clear" w:color="auto" w:fill="auto"/>
          </w:tcPr>
          <w:p w:rsidR="00E458CE" w:rsidRDefault="000112D4">
            <w:pPr>
              <w:spacing w:after="0" w:line="240" w:lineRule="auto"/>
              <w:rPr>
                <w:lang w:val="en-US"/>
              </w:rPr>
            </w:pPr>
            <w:r>
              <w:rPr>
                <w:rFonts w:ascii="Calibri" w:hAnsi="Calibri"/>
                <w:lang w:val="en-US"/>
              </w:rPr>
              <w:t xml:space="preserve">Other teacher(s) – </w:t>
            </w:r>
            <w:proofErr w:type="spellStart"/>
            <w:r>
              <w:rPr>
                <w:rFonts w:ascii="Calibri" w:hAnsi="Calibri"/>
                <w:lang w:val="en-US"/>
              </w:rPr>
              <w:t>Autre</w:t>
            </w:r>
            <w:proofErr w:type="spellEnd"/>
            <w:r>
              <w:rPr>
                <w:rFonts w:ascii="Calibri" w:hAnsi="Calibri"/>
                <w:lang w:val="en-US"/>
              </w:rPr>
              <w:t xml:space="preserve">(s) </w:t>
            </w:r>
            <w:proofErr w:type="spellStart"/>
            <w:r>
              <w:rPr>
                <w:rFonts w:ascii="Calibri" w:hAnsi="Calibri"/>
                <w:lang w:val="en-US"/>
              </w:rPr>
              <w:t>enseignant</w:t>
            </w:r>
            <w:proofErr w:type="spellEnd"/>
            <w:r>
              <w:rPr>
                <w:rFonts w:ascii="Calibri" w:hAnsi="Calibri"/>
                <w:lang w:val="en-US"/>
              </w:rPr>
              <w:t>(s)</w:t>
            </w:r>
          </w:p>
        </w:tc>
        <w:tc>
          <w:tcPr>
            <w:tcW w:w="4388" w:type="dxa"/>
            <w:shd w:val="clear" w:color="auto" w:fill="auto"/>
          </w:tcPr>
          <w:p w:rsidR="00E458CE" w:rsidRDefault="00E458CE">
            <w:pPr>
              <w:spacing w:after="0" w:line="240" w:lineRule="auto"/>
              <w:rPr>
                <w:lang w:val="en-US"/>
              </w:rPr>
            </w:pPr>
          </w:p>
        </w:tc>
      </w:tr>
      <w:tr w:rsidR="00E458CE" w:rsidRPr="00BC1D20">
        <w:tc>
          <w:tcPr>
            <w:tcW w:w="4673" w:type="dxa"/>
            <w:shd w:val="clear" w:color="auto" w:fill="auto"/>
          </w:tcPr>
          <w:p w:rsidR="00E458CE" w:rsidRDefault="000112D4">
            <w:pPr>
              <w:spacing w:after="0" w:line="240" w:lineRule="auto"/>
              <w:rPr>
                <w:lang w:val="en-US"/>
              </w:rPr>
            </w:pPr>
            <w:r>
              <w:rPr>
                <w:rFonts w:ascii="Calibri" w:hAnsi="Calibri"/>
                <w:lang w:val="en-US"/>
              </w:rPr>
              <w:t xml:space="preserve">Other teacher(s) – </w:t>
            </w:r>
            <w:proofErr w:type="spellStart"/>
            <w:r>
              <w:rPr>
                <w:rFonts w:ascii="Calibri" w:hAnsi="Calibri"/>
                <w:lang w:val="en-US"/>
              </w:rPr>
              <w:t>Autre</w:t>
            </w:r>
            <w:proofErr w:type="spellEnd"/>
            <w:r>
              <w:rPr>
                <w:rFonts w:ascii="Calibri" w:hAnsi="Calibri"/>
                <w:lang w:val="en-US"/>
              </w:rPr>
              <w:t xml:space="preserve">(s) </w:t>
            </w:r>
            <w:proofErr w:type="spellStart"/>
            <w:r>
              <w:rPr>
                <w:rFonts w:ascii="Calibri" w:hAnsi="Calibri"/>
                <w:lang w:val="en-US"/>
              </w:rPr>
              <w:t>enseignant</w:t>
            </w:r>
            <w:proofErr w:type="spellEnd"/>
            <w:r>
              <w:rPr>
                <w:rFonts w:ascii="Calibri" w:hAnsi="Calibri"/>
                <w:lang w:val="en-US"/>
              </w:rPr>
              <w:t>(s)</w:t>
            </w:r>
          </w:p>
        </w:tc>
        <w:tc>
          <w:tcPr>
            <w:tcW w:w="4388" w:type="dxa"/>
            <w:shd w:val="clear" w:color="auto" w:fill="auto"/>
          </w:tcPr>
          <w:p w:rsidR="00E458CE" w:rsidRDefault="00E458CE">
            <w:pPr>
              <w:spacing w:after="0" w:line="240" w:lineRule="auto"/>
              <w:rPr>
                <w:lang w:val="en-US"/>
              </w:rPr>
            </w:pPr>
          </w:p>
        </w:tc>
      </w:tr>
      <w:tr w:rsidR="00E458CE" w:rsidRPr="00BC1D20">
        <w:tc>
          <w:tcPr>
            <w:tcW w:w="4673" w:type="dxa"/>
            <w:shd w:val="clear" w:color="auto" w:fill="auto"/>
          </w:tcPr>
          <w:p w:rsidR="00E458CE" w:rsidRDefault="000112D4">
            <w:pPr>
              <w:spacing w:after="0" w:line="240" w:lineRule="auto"/>
              <w:rPr>
                <w:lang w:val="en-US"/>
              </w:rPr>
            </w:pPr>
            <w:r>
              <w:rPr>
                <w:rFonts w:ascii="Calibri" w:hAnsi="Calibri"/>
                <w:lang w:val="en-US"/>
              </w:rPr>
              <w:t xml:space="preserve">Other teacher(s) – </w:t>
            </w:r>
            <w:proofErr w:type="spellStart"/>
            <w:r>
              <w:rPr>
                <w:rFonts w:ascii="Calibri" w:hAnsi="Calibri"/>
                <w:lang w:val="en-US"/>
              </w:rPr>
              <w:t>Autre</w:t>
            </w:r>
            <w:proofErr w:type="spellEnd"/>
            <w:r>
              <w:rPr>
                <w:rFonts w:ascii="Calibri" w:hAnsi="Calibri"/>
                <w:lang w:val="en-US"/>
              </w:rPr>
              <w:t xml:space="preserve">(s) </w:t>
            </w:r>
            <w:proofErr w:type="spellStart"/>
            <w:r>
              <w:rPr>
                <w:rFonts w:ascii="Calibri" w:hAnsi="Calibri"/>
                <w:lang w:val="en-US"/>
              </w:rPr>
              <w:t>enseignant</w:t>
            </w:r>
            <w:proofErr w:type="spellEnd"/>
            <w:r>
              <w:rPr>
                <w:rFonts w:ascii="Calibri" w:hAnsi="Calibri"/>
                <w:lang w:val="en-US"/>
              </w:rPr>
              <w:t>(s)</w:t>
            </w:r>
          </w:p>
        </w:tc>
        <w:tc>
          <w:tcPr>
            <w:tcW w:w="4388" w:type="dxa"/>
            <w:shd w:val="clear" w:color="auto" w:fill="auto"/>
          </w:tcPr>
          <w:p w:rsidR="00E458CE" w:rsidRDefault="00E458CE">
            <w:pPr>
              <w:spacing w:after="0" w:line="240" w:lineRule="auto"/>
              <w:rPr>
                <w:lang w:val="en-US"/>
              </w:rPr>
            </w:pPr>
          </w:p>
        </w:tc>
      </w:tr>
      <w:tr w:rsidR="00E458CE">
        <w:tc>
          <w:tcPr>
            <w:tcW w:w="4673" w:type="dxa"/>
            <w:shd w:val="clear" w:color="auto" w:fill="auto"/>
          </w:tcPr>
          <w:p w:rsidR="00E458CE" w:rsidRDefault="000112D4">
            <w:pPr>
              <w:spacing w:after="0" w:line="240" w:lineRule="auto"/>
            </w:pPr>
            <w:r>
              <w:rPr>
                <w:rFonts w:ascii="Calibri" w:hAnsi="Calibri"/>
              </w:rPr>
              <w:t xml:space="preserve">Lecture </w:t>
            </w:r>
            <w:proofErr w:type="spellStart"/>
            <w:r>
              <w:rPr>
                <w:rFonts w:ascii="Calibri" w:hAnsi="Calibri"/>
              </w:rPr>
              <w:t>Hours</w:t>
            </w:r>
            <w:proofErr w:type="spellEnd"/>
            <w:r>
              <w:rPr>
                <w:rFonts w:ascii="Calibri" w:hAnsi="Calibri"/>
              </w:rPr>
              <w:t xml:space="preserve"> – Volume Horaire CM</w:t>
            </w:r>
          </w:p>
        </w:tc>
        <w:tc>
          <w:tcPr>
            <w:tcW w:w="4388" w:type="dxa"/>
            <w:shd w:val="clear" w:color="auto" w:fill="auto"/>
          </w:tcPr>
          <w:p w:rsidR="00E458CE" w:rsidRDefault="00F169A4">
            <w:pPr>
              <w:spacing w:after="0" w:line="240" w:lineRule="auto"/>
            </w:pPr>
            <w:r>
              <w:t>30</w:t>
            </w:r>
          </w:p>
        </w:tc>
      </w:tr>
      <w:tr w:rsidR="00E458CE">
        <w:tc>
          <w:tcPr>
            <w:tcW w:w="4673" w:type="dxa"/>
            <w:shd w:val="clear" w:color="auto" w:fill="auto"/>
          </w:tcPr>
          <w:p w:rsidR="00E458CE" w:rsidRDefault="000112D4">
            <w:pPr>
              <w:spacing w:after="0" w:line="240" w:lineRule="auto"/>
            </w:pPr>
            <w:r>
              <w:rPr>
                <w:rFonts w:ascii="Calibri" w:hAnsi="Calibri"/>
              </w:rPr>
              <w:t xml:space="preserve">TA </w:t>
            </w:r>
            <w:proofErr w:type="spellStart"/>
            <w:r>
              <w:rPr>
                <w:rFonts w:ascii="Calibri" w:hAnsi="Calibri"/>
              </w:rPr>
              <w:t>Hours</w:t>
            </w:r>
            <w:proofErr w:type="spellEnd"/>
            <w:r>
              <w:rPr>
                <w:rFonts w:ascii="Calibri" w:hAnsi="Calibri"/>
              </w:rPr>
              <w:t xml:space="preserve"> – Volume horaire TD</w:t>
            </w:r>
          </w:p>
        </w:tc>
        <w:tc>
          <w:tcPr>
            <w:tcW w:w="4388" w:type="dxa"/>
            <w:shd w:val="clear" w:color="auto" w:fill="auto"/>
          </w:tcPr>
          <w:p w:rsidR="00E458CE" w:rsidRDefault="00E458CE">
            <w:pPr>
              <w:spacing w:after="0" w:line="240" w:lineRule="auto"/>
            </w:pPr>
          </w:p>
        </w:tc>
      </w:tr>
      <w:tr w:rsidR="00E458CE">
        <w:tc>
          <w:tcPr>
            <w:tcW w:w="4673" w:type="dxa"/>
            <w:shd w:val="clear" w:color="auto" w:fill="auto"/>
          </w:tcPr>
          <w:p w:rsidR="00E458CE" w:rsidRDefault="000112D4">
            <w:pPr>
              <w:spacing w:after="0" w:line="240" w:lineRule="auto"/>
            </w:pPr>
            <w:r>
              <w:rPr>
                <w:rFonts w:ascii="Calibri" w:hAnsi="Calibri"/>
              </w:rPr>
              <w:t xml:space="preserve">TP </w:t>
            </w:r>
            <w:proofErr w:type="spellStart"/>
            <w:r>
              <w:rPr>
                <w:rFonts w:ascii="Calibri" w:hAnsi="Calibri"/>
              </w:rPr>
              <w:t>Hours</w:t>
            </w:r>
            <w:proofErr w:type="spellEnd"/>
            <w:r>
              <w:rPr>
                <w:rFonts w:ascii="Calibri" w:hAnsi="Calibri"/>
              </w:rPr>
              <w:t xml:space="preserve"> – Volume horaire TP</w:t>
            </w:r>
          </w:p>
        </w:tc>
        <w:tc>
          <w:tcPr>
            <w:tcW w:w="4388" w:type="dxa"/>
            <w:shd w:val="clear" w:color="auto" w:fill="auto"/>
          </w:tcPr>
          <w:p w:rsidR="00E458CE" w:rsidRDefault="00E458CE">
            <w:pPr>
              <w:spacing w:after="0" w:line="240" w:lineRule="auto"/>
            </w:pPr>
          </w:p>
        </w:tc>
      </w:tr>
      <w:tr w:rsidR="00E458CE">
        <w:tc>
          <w:tcPr>
            <w:tcW w:w="4673" w:type="dxa"/>
            <w:shd w:val="clear" w:color="auto" w:fill="auto"/>
          </w:tcPr>
          <w:p w:rsidR="00E458CE" w:rsidRDefault="000112D4">
            <w:pPr>
              <w:spacing w:after="0" w:line="240" w:lineRule="auto"/>
            </w:pPr>
            <w:r>
              <w:rPr>
                <w:rFonts w:ascii="Calibri" w:hAnsi="Calibri"/>
              </w:rPr>
              <w:t xml:space="preserve">Course </w:t>
            </w:r>
            <w:proofErr w:type="spellStart"/>
            <w:r>
              <w:rPr>
                <w:rFonts w:ascii="Calibri" w:hAnsi="Calibri"/>
              </w:rPr>
              <w:t>Language</w:t>
            </w:r>
            <w:proofErr w:type="spellEnd"/>
            <w:r>
              <w:rPr>
                <w:rFonts w:ascii="Calibri" w:hAnsi="Calibri"/>
              </w:rPr>
              <w:t xml:space="preserve"> – Langue du cours</w:t>
            </w:r>
          </w:p>
        </w:tc>
        <w:tc>
          <w:tcPr>
            <w:tcW w:w="4388" w:type="dxa"/>
            <w:shd w:val="clear" w:color="auto" w:fill="auto"/>
          </w:tcPr>
          <w:p w:rsidR="00E458CE" w:rsidRDefault="00F169A4">
            <w:pPr>
              <w:spacing w:after="0" w:line="240" w:lineRule="auto"/>
            </w:pPr>
            <w:r>
              <w:t>Français</w:t>
            </w:r>
          </w:p>
        </w:tc>
      </w:tr>
      <w:tr w:rsidR="00E458CE">
        <w:tc>
          <w:tcPr>
            <w:tcW w:w="4673" w:type="dxa"/>
            <w:shd w:val="clear" w:color="auto" w:fill="auto"/>
          </w:tcPr>
          <w:p w:rsidR="00E458CE" w:rsidRDefault="000112D4">
            <w:pPr>
              <w:spacing w:after="0" w:line="240" w:lineRule="auto"/>
            </w:pPr>
            <w:r>
              <w:rPr>
                <w:rFonts w:ascii="Calibri" w:hAnsi="Calibri"/>
              </w:rPr>
              <w:t xml:space="preserve">TA and/or TP </w:t>
            </w:r>
            <w:proofErr w:type="spellStart"/>
            <w:r>
              <w:rPr>
                <w:rFonts w:ascii="Calibri" w:hAnsi="Calibri"/>
              </w:rPr>
              <w:t>Language</w:t>
            </w:r>
            <w:proofErr w:type="spellEnd"/>
            <w:r>
              <w:rPr>
                <w:rFonts w:ascii="Calibri" w:hAnsi="Calibri"/>
              </w:rPr>
              <w:t xml:space="preserve"> – Langue des TD et/ou TP</w:t>
            </w:r>
          </w:p>
        </w:tc>
        <w:tc>
          <w:tcPr>
            <w:tcW w:w="4388" w:type="dxa"/>
            <w:shd w:val="clear" w:color="auto" w:fill="auto"/>
          </w:tcPr>
          <w:p w:rsidR="00E458CE" w:rsidRDefault="00E458CE">
            <w:pPr>
              <w:spacing w:after="0" w:line="240" w:lineRule="auto"/>
            </w:pPr>
          </w:p>
        </w:tc>
      </w:tr>
    </w:tbl>
    <w:p w:rsidR="00E458CE" w:rsidRDefault="00E458CE">
      <w:pPr>
        <w:rPr>
          <w:rFonts w:asciiTheme="minorHAnsi" w:hAnsiTheme="minorHAnsi"/>
        </w:rPr>
      </w:pPr>
    </w:p>
    <w:p w:rsidR="00E458CE" w:rsidRDefault="000112D4">
      <w:pPr>
        <w:rPr>
          <w:rFonts w:asciiTheme="minorHAnsi" w:hAnsiTheme="minorHAnsi"/>
          <w:b/>
          <w:u w:val="single"/>
        </w:rPr>
      </w:pPr>
      <w:proofErr w:type="spellStart"/>
      <w:r>
        <w:rPr>
          <w:rFonts w:asciiTheme="minorHAnsi" w:hAnsiTheme="minorHAnsi"/>
          <w:b/>
          <w:u w:val="single"/>
        </w:rPr>
        <w:t>Teaching</w:t>
      </w:r>
      <w:proofErr w:type="spellEnd"/>
      <w:r>
        <w:rPr>
          <w:rFonts w:asciiTheme="minorHAnsi" w:hAnsiTheme="minorHAnsi"/>
          <w:b/>
          <w:u w:val="single"/>
        </w:rPr>
        <w:t xml:space="preserve"> staff contacts – Coordonnées de l’équipe pédagogique :</w:t>
      </w:r>
    </w:p>
    <w:p w:rsidR="00F169A4" w:rsidRDefault="00F169A4" w:rsidP="00F169A4">
      <w:pPr>
        <w:jc w:val="both"/>
        <w:rPr>
          <w:rFonts w:asciiTheme="minorHAnsi" w:hAnsiTheme="minorHAnsi" w:cstheme="minorHAnsi"/>
        </w:rPr>
      </w:pPr>
      <w:r w:rsidRPr="00F169A4">
        <w:rPr>
          <w:rFonts w:asciiTheme="minorHAnsi" w:hAnsiTheme="minorHAnsi" w:cstheme="minorHAnsi"/>
        </w:rPr>
        <w:t xml:space="preserve">jean-marie.lozachmeur@tse-fr.eu Bureau: T.380 </w:t>
      </w:r>
    </w:p>
    <w:p w:rsidR="00F169A4" w:rsidRPr="00F169A4" w:rsidRDefault="00F169A4" w:rsidP="00F169A4">
      <w:pPr>
        <w:jc w:val="both"/>
        <w:rPr>
          <w:rFonts w:asciiTheme="minorHAnsi" w:hAnsiTheme="minorHAnsi" w:cstheme="minorHAnsi"/>
          <w:b/>
          <w:u w:val="single"/>
        </w:rPr>
      </w:pPr>
      <w:r w:rsidRPr="00F169A4">
        <w:rPr>
          <w:rFonts w:asciiTheme="minorHAnsi" w:hAnsiTheme="minorHAnsi" w:cstheme="minorHAnsi"/>
        </w:rPr>
        <w:t xml:space="preserve">Contact privilégié : sortie de cours, par e-mail, sur </w:t>
      </w:r>
      <w:proofErr w:type="spellStart"/>
      <w:r w:rsidRPr="00F169A4">
        <w:rPr>
          <w:rFonts w:asciiTheme="minorHAnsi" w:hAnsiTheme="minorHAnsi" w:cstheme="minorHAnsi"/>
        </w:rPr>
        <w:t>rendez vous</w:t>
      </w:r>
      <w:proofErr w:type="spellEnd"/>
      <w:r w:rsidRPr="00F169A4">
        <w:rPr>
          <w:rFonts w:asciiTheme="minorHAnsi" w:hAnsiTheme="minorHAnsi" w:cstheme="minorHAnsi"/>
        </w:rPr>
        <w:t>.</w:t>
      </w:r>
    </w:p>
    <w:p w:rsidR="00E458CE" w:rsidRDefault="000112D4">
      <w:pPr>
        <w:rPr>
          <w:rFonts w:asciiTheme="minorHAnsi" w:hAnsiTheme="minorHAnsi"/>
          <w:b/>
          <w:u w:val="single"/>
        </w:rPr>
      </w:pPr>
      <w:r>
        <w:rPr>
          <w:rFonts w:asciiTheme="minorHAnsi" w:hAnsiTheme="minorHAnsi"/>
          <w:b/>
          <w:u w:val="single"/>
        </w:rPr>
        <w:t>Course Objectives – Objectifs du cours :</w:t>
      </w:r>
    </w:p>
    <w:p w:rsidR="00F169A4" w:rsidRPr="00F169A4" w:rsidRDefault="00F169A4" w:rsidP="00F169A4">
      <w:pPr>
        <w:jc w:val="both"/>
        <w:rPr>
          <w:rFonts w:asciiTheme="minorHAnsi" w:hAnsiTheme="minorHAnsi" w:cstheme="minorHAnsi"/>
        </w:rPr>
      </w:pPr>
      <w:r w:rsidRPr="00F169A4">
        <w:rPr>
          <w:rFonts w:asciiTheme="minorHAnsi" w:hAnsiTheme="minorHAnsi" w:cstheme="minorHAnsi"/>
        </w:rPr>
        <w:t>Ce cours est essentiellement une évaluation du rôle du secteur public dans une économie de marché. Le cours utilisera l'analyse économique pour (</w:t>
      </w:r>
      <w:proofErr w:type="spellStart"/>
      <w:r w:rsidRPr="00F169A4">
        <w:rPr>
          <w:rFonts w:asciiTheme="minorHAnsi" w:hAnsiTheme="minorHAnsi" w:cstheme="minorHAnsi"/>
        </w:rPr>
        <w:t>re</w:t>
      </w:r>
      <w:proofErr w:type="spellEnd"/>
      <w:r w:rsidRPr="00F169A4">
        <w:rPr>
          <w:rFonts w:asciiTheme="minorHAnsi" w:hAnsiTheme="minorHAnsi" w:cstheme="minorHAnsi"/>
        </w:rPr>
        <w:t xml:space="preserve">)considérer l'efficacité et les effets distributifs de l'intervention gouvernementale. </w:t>
      </w:r>
    </w:p>
    <w:p w:rsidR="00F169A4" w:rsidRPr="00F169A4" w:rsidRDefault="00F169A4" w:rsidP="00F169A4">
      <w:pPr>
        <w:jc w:val="both"/>
        <w:rPr>
          <w:rFonts w:asciiTheme="minorHAnsi" w:hAnsiTheme="minorHAnsi" w:cstheme="minorHAnsi"/>
        </w:rPr>
      </w:pPr>
      <w:r w:rsidRPr="00F169A4">
        <w:rPr>
          <w:rFonts w:asciiTheme="minorHAnsi" w:hAnsiTheme="minorHAnsi" w:cstheme="minorHAnsi"/>
        </w:rPr>
        <w:t xml:space="preserve">La conception optimale de l'intervention gouvernementale à la fois en termes de dépenses publiques et de recouvrement des impôts est également étudiée. </w:t>
      </w:r>
    </w:p>
    <w:p w:rsidR="00F169A4" w:rsidRPr="00F169A4" w:rsidRDefault="00F169A4" w:rsidP="00F169A4">
      <w:pPr>
        <w:jc w:val="both"/>
        <w:rPr>
          <w:rFonts w:asciiTheme="minorHAnsi" w:hAnsiTheme="minorHAnsi" w:cstheme="minorHAnsi"/>
        </w:rPr>
      </w:pPr>
      <w:r w:rsidRPr="00F169A4">
        <w:rPr>
          <w:rFonts w:asciiTheme="minorHAnsi" w:hAnsiTheme="minorHAnsi" w:cstheme="minorHAnsi"/>
        </w:rPr>
        <w:t xml:space="preserve">L'objectif principal du cours est de trouver un équilibre entre les échecs politiques et du marché dans la détermination de la forme et de l'étendue de l'intervention gouvernementale. </w:t>
      </w:r>
    </w:p>
    <w:p w:rsidR="00F169A4" w:rsidRPr="00F169A4" w:rsidRDefault="00F169A4" w:rsidP="00F169A4">
      <w:pPr>
        <w:jc w:val="both"/>
        <w:rPr>
          <w:rFonts w:asciiTheme="minorHAnsi" w:hAnsiTheme="minorHAnsi" w:cstheme="minorHAnsi"/>
          <w:b/>
          <w:u w:val="single"/>
        </w:rPr>
      </w:pPr>
      <w:r w:rsidRPr="00F169A4">
        <w:rPr>
          <w:rFonts w:asciiTheme="minorHAnsi" w:hAnsiTheme="minorHAnsi" w:cstheme="minorHAnsi"/>
        </w:rPr>
        <w:t>Les étudiants qui suivent ce cours acquerront: 1. Une compréhension de la conception des dépenses publiques et du recouvrement des impôts. 2. Une compréhension du compromis entre équité et efficacité. 3. La compétence pour appliquer l'analyse économique au secteur public.</w:t>
      </w:r>
    </w:p>
    <w:p w:rsidR="00E458CE" w:rsidRDefault="000112D4">
      <w:pPr>
        <w:rPr>
          <w:rFonts w:asciiTheme="minorHAnsi" w:hAnsiTheme="minorHAnsi"/>
          <w:b/>
          <w:u w:val="single"/>
        </w:rPr>
      </w:pPr>
      <w:proofErr w:type="spellStart"/>
      <w:r>
        <w:rPr>
          <w:rFonts w:asciiTheme="minorHAnsi" w:hAnsiTheme="minorHAnsi"/>
          <w:b/>
          <w:u w:val="single"/>
        </w:rPr>
        <w:t>Prerequisites</w:t>
      </w:r>
      <w:proofErr w:type="spellEnd"/>
      <w:r>
        <w:rPr>
          <w:rFonts w:asciiTheme="minorHAnsi" w:hAnsiTheme="minorHAnsi"/>
          <w:b/>
          <w:u w:val="single"/>
        </w:rPr>
        <w:t xml:space="preserve"> – Pré requis :</w:t>
      </w:r>
    </w:p>
    <w:p w:rsidR="00F169A4" w:rsidRPr="00F169A4" w:rsidRDefault="00BC1D20" w:rsidP="00F169A4">
      <w:pPr>
        <w:jc w:val="both"/>
        <w:rPr>
          <w:rFonts w:asciiTheme="minorHAnsi" w:hAnsiTheme="minorHAnsi" w:cstheme="minorHAnsi"/>
          <w:b/>
          <w:u w:val="single"/>
        </w:rPr>
      </w:pPr>
      <w:r>
        <w:rPr>
          <w:rFonts w:asciiTheme="minorHAnsi" w:hAnsiTheme="minorHAnsi" w:cstheme="minorHAnsi"/>
        </w:rPr>
        <w:t>N</w:t>
      </w:r>
      <w:r w:rsidR="00F169A4" w:rsidRPr="00F169A4">
        <w:rPr>
          <w:rFonts w:asciiTheme="minorHAnsi" w:hAnsiTheme="minorHAnsi" w:cstheme="minorHAnsi"/>
        </w:rPr>
        <w:t>otions en microéconomie, optimisation</w:t>
      </w:r>
      <w:r>
        <w:rPr>
          <w:rFonts w:asciiTheme="minorHAnsi" w:hAnsiTheme="minorHAnsi" w:cstheme="minorHAnsi"/>
        </w:rPr>
        <w:t xml:space="preserve"> et</w:t>
      </w:r>
      <w:r w:rsidR="00F169A4" w:rsidRPr="00F169A4">
        <w:rPr>
          <w:rFonts w:asciiTheme="minorHAnsi" w:hAnsiTheme="minorHAnsi" w:cstheme="minorHAnsi"/>
        </w:rPr>
        <w:t xml:space="preserve"> théorie des jeux.</w:t>
      </w:r>
    </w:p>
    <w:p w:rsidR="00E458CE" w:rsidRDefault="000112D4">
      <w:pPr>
        <w:rPr>
          <w:rFonts w:asciiTheme="minorHAnsi" w:hAnsiTheme="minorHAnsi"/>
          <w:b/>
          <w:u w:val="single"/>
        </w:rPr>
      </w:pPr>
      <w:proofErr w:type="spellStart"/>
      <w:r>
        <w:rPr>
          <w:rFonts w:asciiTheme="minorHAnsi" w:hAnsiTheme="minorHAnsi"/>
          <w:b/>
          <w:u w:val="single"/>
        </w:rPr>
        <w:t>Practical</w:t>
      </w:r>
      <w:proofErr w:type="spellEnd"/>
      <w:r>
        <w:rPr>
          <w:rFonts w:asciiTheme="minorHAnsi" w:hAnsiTheme="minorHAnsi"/>
          <w:b/>
          <w:u w:val="single"/>
        </w:rPr>
        <w:t xml:space="preserve"> information about the sessions – Modalités pratiques de gestion du cours :</w:t>
      </w:r>
    </w:p>
    <w:p w:rsidR="00F169A4" w:rsidRPr="00F169A4" w:rsidRDefault="00F169A4" w:rsidP="00F169A4">
      <w:pPr>
        <w:jc w:val="both"/>
        <w:rPr>
          <w:rFonts w:asciiTheme="minorHAnsi" w:hAnsiTheme="minorHAnsi" w:cstheme="minorHAnsi"/>
          <w:b/>
          <w:u w:val="single"/>
        </w:rPr>
      </w:pPr>
      <w:r w:rsidRPr="00F169A4">
        <w:rPr>
          <w:rFonts w:asciiTheme="minorHAnsi" w:hAnsiTheme="minorHAnsi" w:cstheme="minorHAnsi"/>
        </w:rPr>
        <w:t>Ordinateurs acceptés en cours. Participation assidue et active attendue.</w:t>
      </w:r>
    </w:p>
    <w:p w:rsidR="00E458CE" w:rsidRPr="00BC1D20" w:rsidRDefault="000112D4">
      <w:pPr>
        <w:rPr>
          <w:rFonts w:asciiTheme="minorHAnsi" w:hAnsiTheme="minorHAnsi"/>
          <w:b/>
          <w:u w:val="single"/>
          <w:lang w:val="en-US"/>
        </w:rPr>
      </w:pPr>
      <w:r w:rsidRPr="00BC1D20">
        <w:rPr>
          <w:rFonts w:asciiTheme="minorHAnsi" w:hAnsiTheme="minorHAnsi"/>
          <w:b/>
          <w:u w:val="single"/>
          <w:lang w:val="en-US"/>
        </w:rPr>
        <w:lastRenderedPageBreak/>
        <w:t xml:space="preserve">Grading system – </w:t>
      </w:r>
      <w:proofErr w:type="spellStart"/>
      <w:r w:rsidRPr="00BC1D20">
        <w:rPr>
          <w:rFonts w:asciiTheme="minorHAnsi" w:hAnsiTheme="minorHAnsi"/>
          <w:b/>
          <w:u w:val="single"/>
          <w:lang w:val="en-US"/>
        </w:rPr>
        <w:t>Modalités</w:t>
      </w:r>
      <w:proofErr w:type="spellEnd"/>
      <w:r w:rsidRPr="00BC1D20">
        <w:rPr>
          <w:rFonts w:asciiTheme="minorHAnsi" w:hAnsiTheme="minorHAnsi"/>
          <w:b/>
          <w:u w:val="single"/>
          <w:lang w:val="en-US"/>
        </w:rPr>
        <w:t xml:space="preserve"> </w:t>
      </w:r>
      <w:proofErr w:type="spellStart"/>
      <w:proofErr w:type="gramStart"/>
      <w:r w:rsidRPr="00BC1D20">
        <w:rPr>
          <w:rFonts w:asciiTheme="minorHAnsi" w:hAnsiTheme="minorHAnsi"/>
          <w:b/>
          <w:u w:val="single"/>
          <w:lang w:val="en-US"/>
        </w:rPr>
        <w:t>d’évaluation</w:t>
      </w:r>
      <w:proofErr w:type="spellEnd"/>
      <w:r w:rsidRPr="00BC1D20">
        <w:rPr>
          <w:rFonts w:asciiTheme="minorHAnsi" w:hAnsiTheme="minorHAnsi"/>
          <w:b/>
          <w:u w:val="single"/>
          <w:lang w:val="en-US"/>
        </w:rPr>
        <w:t> :</w:t>
      </w:r>
      <w:proofErr w:type="gramEnd"/>
    </w:p>
    <w:p w:rsidR="00F169A4" w:rsidRPr="00BC1D20" w:rsidRDefault="00F169A4" w:rsidP="00F169A4">
      <w:pPr>
        <w:jc w:val="both"/>
        <w:rPr>
          <w:rFonts w:asciiTheme="minorHAnsi" w:hAnsiTheme="minorHAnsi" w:cstheme="minorHAnsi"/>
          <w:b/>
          <w:u w:val="single"/>
          <w:lang w:val="en-US"/>
        </w:rPr>
      </w:pPr>
      <w:proofErr w:type="spellStart"/>
      <w:r w:rsidRPr="00BC1D20">
        <w:rPr>
          <w:rFonts w:asciiTheme="minorHAnsi" w:hAnsiTheme="minorHAnsi" w:cstheme="minorHAnsi"/>
          <w:lang w:val="en-US"/>
        </w:rPr>
        <w:t>Examen</w:t>
      </w:r>
      <w:proofErr w:type="spellEnd"/>
      <w:r w:rsidRPr="00BC1D20">
        <w:rPr>
          <w:rFonts w:asciiTheme="minorHAnsi" w:hAnsiTheme="minorHAnsi" w:cstheme="minorHAnsi"/>
          <w:lang w:val="en-US"/>
        </w:rPr>
        <w:t xml:space="preserve"> terminal.</w:t>
      </w:r>
    </w:p>
    <w:p w:rsidR="00E458CE" w:rsidRDefault="000112D4">
      <w:pPr>
        <w:rPr>
          <w:rFonts w:asciiTheme="minorHAnsi" w:hAnsiTheme="minorHAnsi"/>
          <w:b/>
          <w:u w:val="single"/>
        </w:rPr>
      </w:pPr>
      <w:proofErr w:type="spellStart"/>
      <w:r>
        <w:rPr>
          <w:rFonts w:asciiTheme="minorHAnsi" w:hAnsiTheme="minorHAnsi"/>
          <w:b/>
          <w:u w:val="single"/>
        </w:rPr>
        <w:t>Bibliography</w:t>
      </w:r>
      <w:proofErr w:type="spellEnd"/>
      <w:r>
        <w:rPr>
          <w:rFonts w:asciiTheme="minorHAnsi" w:hAnsiTheme="minorHAnsi"/>
          <w:b/>
          <w:u w:val="single"/>
        </w:rPr>
        <w:t>/</w:t>
      </w:r>
      <w:proofErr w:type="spellStart"/>
      <w:r>
        <w:rPr>
          <w:rFonts w:asciiTheme="minorHAnsi" w:hAnsiTheme="minorHAnsi"/>
          <w:b/>
          <w:u w:val="single"/>
        </w:rPr>
        <w:t>references</w:t>
      </w:r>
      <w:proofErr w:type="spellEnd"/>
      <w:r>
        <w:rPr>
          <w:rFonts w:asciiTheme="minorHAnsi" w:hAnsiTheme="minorHAnsi"/>
          <w:b/>
          <w:u w:val="single"/>
        </w:rPr>
        <w:t xml:space="preserve"> – Bibliographie/références :</w:t>
      </w:r>
    </w:p>
    <w:p w:rsidR="00F169A4" w:rsidRPr="00F169A4" w:rsidRDefault="00F169A4" w:rsidP="00F169A4">
      <w:pPr>
        <w:jc w:val="both"/>
        <w:rPr>
          <w:rFonts w:asciiTheme="minorHAnsi" w:hAnsiTheme="minorHAnsi" w:cstheme="minorHAnsi"/>
          <w:b/>
          <w:u w:val="single"/>
          <w:lang w:val="en-GB"/>
        </w:rPr>
      </w:pPr>
      <w:r w:rsidRPr="00F169A4">
        <w:rPr>
          <w:rFonts w:asciiTheme="minorHAnsi" w:hAnsiTheme="minorHAnsi" w:cstheme="minorHAnsi"/>
        </w:rPr>
        <w:t xml:space="preserve">Le cours se fera par présentation des diapositives personnelles de l'enseignement. </w:t>
      </w:r>
      <w:proofErr w:type="spellStart"/>
      <w:r w:rsidRPr="00F169A4">
        <w:rPr>
          <w:rFonts w:asciiTheme="minorHAnsi" w:hAnsiTheme="minorHAnsi" w:cstheme="minorHAnsi"/>
          <w:lang w:val="en-GB"/>
        </w:rPr>
        <w:t>Référence</w:t>
      </w:r>
      <w:proofErr w:type="spellEnd"/>
      <w:r w:rsidRPr="00F169A4">
        <w:rPr>
          <w:rFonts w:asciiTheme="minorHAnsi" w:hAnsiTheme="minorHAnsi" w:cstheme="minorHAnsi"/>
          <w:lang w:val="en-GB"/>
        </w:rPr>
        <w:t>: Jonathan Gruber, Public Finance and Public Policy, 5th Edition, New York: Worth Publishers, 2016.(</w:t>
      </w:r>
      <w:proofErr w:type="spellStart"/>
      <w:r w:rsidRPr="00F169A4">
        <w:rPr>
          <w:rFonts w:asciiTheme="minorHAnsi" w:hAnsiTheme="minorHAnsi" w:cstheme="minorHAnsi"/>
          <w:lang w:val="en-GB"/>
        </w:rPr>
        <w:t>chapitres</w:t>
      </w:r>
      <w:proofErr w:type="spellEnd"/>
      <w:r w:rsidRPr="00F169A4">
        <w:rPr>
          <w:rFonts w:asciiTheme="minorHAnsi" w:hAnsiTheme="minorHAnsi" w:cstheme="minorHAnsi"/>
          <w:lang w:val="en-GB"/>
        </w:rPr>
        <w:t xml:space="preserve"> 1,2,3,6,6,7,8,9,18,19,20,21,22)</w:t>
      </w:r>
    </w:p>
    <w:p w:rsidR="00E458CE" w:rsidRDefault="000112D4">
      <w:pPr>
        <w:rPr>
          <w:rFonts w:asciiTheme="minorHAnsi" w:hAnsiTheme="minorHAnsi"/>
          <w:b/>
          <w:u w:val="single"/>
        </w:rPr>
      </w:pPr>
      <w:r>
        <w:rPr>
          <w:rFonts w:asciiTheme="minorHAnsi" w:hAnsiTheme="minorHAnsi"/>
          <w:b/>
          <w:u w:val="single"/>
        </w:rPr>
        <w:t>Session planning – Planification des séances</w:t>
      </w:r>
      <w:r w:rsidR="00F169A4">
        <w:rPr>
          <w:rFonts w:asciiTheme="minorHAnsi" w:hAnsiTheme="minorHAnsi"/>
          <w:b/>
          <w:u w:val="single"/>
        </w:rPr>
        <w:t xml:space="preserve">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F169A4" w:rsidRPr="00F169A4" w:rsidTr="00F169A4">
        <w:trPr>
          <w:tblCellSpacing w:w="15" w:type="dxa"/>
        </w:trPr>
        <w:tc>
          <w:tcPr>
            <w:tcW w:w="0" w:type="auto"/>
            <w:vAlign w:val="center"/>
            <w:hideMark/>
          </w:tcPr>
          <w:p w:rsidR="00F169A4" w:rsidRPr="00F169A4" w:rsidRDefault="00F169A4" w:rsidP="00F169A4">
            <w:pPr>
              <w:spacing w:after="0" w:line="240" w:lineRule="auto"/>
              <w:rPr>
                <w:rFonts w:ascii="Times New Roman" w:eastAsia="Times New Roman" w:hAnsi="Times New Roman" w:cs="Times New Roman"/>
                <w:sz w:val="20"/>
                <w:szCs w:val="24"/>
                <w:lang w:eastAsia="fr-FR"/>
              </w:rPr>
            </w:pPr>
          </w:p>
        </w:tc>
        <w:tc>
          <w:tcPr>
            <w:tcW w:w="0" w:type="auto"/>
            <w:vAlign w:val="center"/>
            <w:hideMark/>
          </w:tcPr>
          <w:p w:rsidR="00F169A4" w:rsidRPr="007B61FF" w:rsidRDefault="00F169A4" w:rsidP="00F169A4">
            <w:pPr>
              <w:spacing w:after="0" w:line="240" w:lineRule="auto"/>
              <w:rPr>
                <w:rFonts w:asciiTheme="minorHAnsi" w:eastAsia="Times New Roman" w:hAnsiTheme="minorHAnsi" w:cstheme="minorHAnsi"/>
                <w:lang w:eastAsia="fr-FR"/>
              </w:rPr>
            </w:pPr>
            <w:r w:rsidRPr="00F169A4">
              <w:rPr>
                <w:rFonts w:asciiTheme="minorHAnsi" w:eastAsia="Times New Roman" w:hAnsiTheme="minorHAnsi" w:cstheme="minorHAnsi"/>
                <w:lang w:eastAsia="fr-FR"/>
              </w:rPr>
              <w:t>Plan du cours</w:t>
            </w:r>
            <w:r w:rsidRPr="007B61FF">
              <w:rPr>
                <w:rFonts w:asciiTheme="minorHAnsi" w:eastAsia="Times New Roman" w:hAnsiTheme="minorHAnsi" w:cstheme="minorHAnsi"/>
                <w:lang w:eastAsia="fr-FR"/>
              </w:rPr>
              <w:t xml:space="preserve"> : </w:t>
            </w:r>
          </w:p>
          <w:p w:rsidR="007B61FF" w:rsidRPr="007B61FF" w:rsidRDefault="007B61FF" w:rsidP="00F169A4">
            <w:pPr>
              <w:spacing w:after="0" w:line="240" w:lineRule="auto"/>
              <w:rPr>
                <w:rFonts w:asciiTheme="minorHAnsi" w:eastAsia="Times New Roman" w:hAnsiTheme="minorHAnsi" w:cstheme="minorHAnsi"/>
                <w:lang w:eastAsia="fr-FR"/>
              </w:rPr>
            </w:pPr>
          </w:p>
          <w:p w:rsidR="00F169A4" w:rsidRPr="007B61FF" w:rsidRDefault="00F169A4" w:rsidP="007B61FF">
            <w:pPr>
              <w:pStyle w:val="Paragraphedeliste"/>
              <w:numPr>
                <w:ilvl w:val="0"/>
                <w:numId w:val="5"/>
              </w:numPr>
              <w:spacing w:after="0" w:line="240" w:lineRule="auto"/>
              <w:rPr>
                <w:rFonts w:asciiTheme="minorHAnsi" w:eastAsia="Times New Roman" w:hAnsiTheme="minorHAnsi" w:cstheme="minorHAnsi"/>
                <w:lang w:eastAsia="fr-FR"/>
              </w:rPr>
            </w:pPr>
            <w:r w:rsidRPr="007B61FF">
              <w:rPr>
                <w:rFonts w:asciiTheme="minorHAnsi" w:eastAsia="Times New Roman" w:hAnsiTheme="minorHAnsi" w:cstheme="minorHAnsi"/>
                <w:lang w:eastAsia="fr-FR"/>
              </w:rPr>
              <w:t>Introduction (JG, Chapitres 1 à 3)</w:t>
            </w:r>
          </w:p>
          <w:p w:rsidR="00F169A4" w:rsidRPr="007B61FF" w:rsidRDefault="00F169A4" w:rsidP="007B61FF">
            <w:pPr>
              <w:pStyle w:val="Paragraphedeliste"/>
              <w:numPr>
                <w:ilvl w:val="0"/>
                <w:numId w:val="5"/>
              </w:numPr>
              <w:spacing w:after="0" w:line="240" w:lineRule="auto"/>
              <w:rPr>
                <w:rFonts w:asciiTheme="minorHAnsi" w:eastAsia="Times New Roman" w:hAnsiTheme="minorHAnsi" w:cstheme="minorHAnsi"/>
                <w:lang w:eastAsia="fr-FR"/>
              </w:rPr>
            </w:pPr>
            <w:r w:rsidRPr="007B61FF">
              <w:rPr>
                <w:rFonts w:asciiTheme="minorHAnsi" w:eastAsia="Times New Roman" w:hAnsiTheme="minorHAnsi" w:cstheme="minorHAnsi"/>
                <w:lang w:eastAsia="fr-FR"/>
              </w:rPr>
              <w:t>Les externalités: théorie et application (JB, chapitres 5 et 6)</w:t>
            </w:r>
          </w:p>
          <w:p w:rsidR="00F169A4" w:rsidRPr="007B61FF" w:rsidRDefault="00F169A4" w:rsidP="007B61FF">
            <w:pPr>
              <w:pStyle w:val="Paragraphedeliste"/>
              <w:numPr>
                <w:ilvl w:val="0"/>
                <w:numId w:val="5"/>
              </w:numPr>
              <w:spacing w:after="0" w:line="240" w:lineRule="auto"/>
              <w:rPr>
                <w:rFonts w:asciiTheme="minorHAnsi" w:eastAsia="Times New Roman" w:hAnsiTheme="minorHAnsi" w:cstheme="minorHAnsi"/>
                <w:lang w:eastAsia="fr-FR"/>
              </w:rPr>
            </w:pPr>
            <w:r w:rsidRPr="007B61FF">
              <w:rPr>
                <w:rFonts w:asciiTheme="minorHAnsi" w:eastAsia="Times New Roman" w:hAnsiTheme="minorHAnsi" w:cstheme="minorHAnsi"/>
                <w:lang w:eastAsia="fr-FR"/>
              </w:rPr>
              <w:t>Les biens publics: théorie et application (JB, chapitres 7,8,9)</w:t>
            </w:r>
          </w:p>
          <w:p w:rsidR="00F169A4" w:rsidRPr="007B61FF" w:rsidRDefault="00F169A4" w:rsidP="007B61FF">
            <w:pPr>
              <w:pStyle w:val="Paragraphedeliste"/>
              <w:numPr>
                <w:ilvl w:val="0"/>
                <w:numId w:val="5"/>
              </w:numPr>
              <w:spacing w:after="0" w:line="240" w:lineRule="auto"/>
              <w:rPr>
                <w:rFonts w:asciiTheme="minorHAnsi" w:eastAsia="Times New Roman" w:hAnsiTheme="minorHAnsi" w:cstheme="minorHAnsi"/>
                <w:lang w:eastAsia="fr-FR"/>
              </w:rPr>
            </w:pPr>
            <w:r w:rsidRPr="007B61FF">
              <w:rPr>
                <w:rFonts w:asciiTheme="minorHAnsi" w:eastAsia="Times New Roman" w:hAnsiTheme="minorHAnsi" w:cstheme="minorHAnsi"/>
                <w:lang w:eastAsia="fr-FR"/>
              </w:rPr>
              <w:t>Incidence fiscale et inefficacités de la taxation (JB, chapitres 18,19,20)</w:t>
            </w:r>
          </w:p>
          <w:p w:rsidR="007B61FF" w:rsidRPr="007B61FF" w:rsidRDefault="00F169A4" w:rsidP="007B61FF">
            <w:pPr>
              <w:pStyle w:val="Paragraphedeliste"/>
              <w:numPr>
                <w:ilvl w:val="0"/>
                <w:numId w:val="5"/>
              </w:numPr>
              <w:spacing w:after="0" w:line="240" w:lineRule="auto"/>
              <w:rPr>
                <w:rFonts w:asciiTheme="minorHAnsi" w:eastAsia="Times New Roman" w:hAnsiTheme="minorHAnsi" w:cstheme="minorHAnsi"/>
                <w:lang w:eastAsia="fr-FR"/>
              </w:rPr>
            </w:pPr>
            <w:r w:rsidRPr="007B61FF">
              <w:rPr>
                <w:rFonts w:asciiTheme="minorHAnsi" w:eastAsia="Times New Roman" w:hAnsiTheme="minorHAnsi" w:cstheme="minorHAnsi"/>
                <w:lang w:eastAsia="fr-FR"/>
              </w:rPr>
              <w:t xml:space="preserve">La taxation des biens, du travail </w:t>
            </w:r>
            <w:r w:rsidR="00BC1D20">
              <w:rPr>
                <w:rFonts w:asciiTheme="minorHAnsi" w:eastAsia="Times New Roman" w:hAnsiTheme="minorHAnsi" w:cstheme="minorHAnsi"/>
                <w:lang w:eastAsia="fr-FR"/>
              </w:rPr>
              <w:t xml:space="preserve">et du travail </w:t>
            </w:r>
            <w:r w:rsidRPr="007B61FF">
              <w:rPr>
                <w:rFonts w:asciiTheme="minorHAnsi" w:eastAsia="Times New Roman" w:hAnsiTheme="minorHAnsi" w:cstheme="minorHAnsi"/>
                <w:lang w:eastAsia="fr-FR"/>
              </w:rPr>
              <w:t>(JB, chapitres 21,22)</w:t>
            </w:r>
          </w:p>
          <w:p w:rsidR="00F169A4" w:rsidRPr="007B61FF" w:rsidRDefault="00BC1D20" w:rsidP="00BC1D20">
            <w:pPr>
              <w:pStyle w:val="Paragraphedeliste"/>
              <w:numPr>
                <w:ilvl w:val="0"/>
                <w:numId w:val="5"/>
              </w:numPr>
              <w:spacing w:after="0" w:line="240" w:lineRule="auto"/>
              <w:rPr>
                <w:rFonts w:ascii="Times New Roman" w:eastAsia="Times New Roman" w:hAnsi="Times New Roman" w:cs="Times New Roman"/>
                <w:sz w:val="24"/>
                <w:szCs w:val="24"/>
                <w:lang w:eastAsia="fr-FR"/>
              </w:rPr>
            </w:pPr>
            <w:r>
              <w:rPr>
                <w:rFonts w:asciiTheme="minorHAnsi" w:eastAsia="Times New Roman" w:hAnsiTheme="minorHAnsi" w:cstheme="minorHAnsi"/>
                <w:lang w:eastAsia="fr-FR"/>
              </w:rPr>
              <w:t xml:space="preserve">Les </w:t>
            </w:r>
            <w:proofErr w:type="spellStart"/>
            <w:r>
              <w:rPr>
                <w:rFonts w:asciiTheme="minorHAnsi" w:eastAsia="Times New Roman" w:hAnsiTheme="minorHAnsi" w:cstheme="minorHAnsi"/>
                <w:lang w:eastAsia="fr-FR"/>
              </w:rPr>
              <w:t>retaites</w:t>
            </w:r>
            <w:proofErr w:type="spellEnd"/>
            <w:r>
              <w:rPr>
                <w:rFonts w:asciiTheme="minorHAnsi" w:eastAsia="Times New Roman" w:hAnsiTheme="minorHAnsi" w:cstheme="minorHAnsi"/>
                <w:lang w:eastAsia="fr-FR"/>
              </w:rPr>
              <w:t>.</w:t>
            </w:r>
            <w:r w:rsidR="00F169A4" w:rsidRPr="007B61FF">
              <w:rPr>
                <w:rFonts w:ascii="Times New Roman" w:eastAsia="Times New Roman" w:hAnsi="Times New Roman" w:cs="Times New Roman"/>
                <w:sz w:val="24"/>
                <w:szCs w:val="24"/>
                <w:lang w:eastAsia="fr-FR"/>
              </w:rPr>
              <w:t xml:space="preserve"> </w:t>
            </w:r>
          </w:p>
        </w:tc>
      </w:tr>
      <w:tr w:rsidR="007B61FF" w:rsidRPr="00F169A4" w:rsidTr="00F169A4">
        <w:trPr>
          <w:tblCellSpacing w:w="15" w:type="dxa"/>
        </w:trPr>
        <w:tc>
          <w:tcPr>
            <w:tcW w:w="0" w:type="auto"/>
            <w:vAlign w:val="center"/>
          </w:tcPr>
          <w:p w:rsidR="007B61FF" w:rsidRPr="00F169A4" w:rsidRDefault="007B61FF" w:rsidP="00F169A4">
            <w:pPr>
              <w:spacing w:after="0" w:line="240" w:lineRule="auto"/>
              <w:rPr>
                <w:rFonts w:ascii="Times New Roman" w:eastAsia="Times New Roman" w:hAnsi="Times New Roman" w:cs="Times New Roman"/>
                <w:sz w:val="20"/>
                <w:szCs w:val="24"/>
                <w:lang w:eastAsia="fr-FR"/>
              </w:rPr>
            </w:pPr>
          </w:p>
        </w:tc>
        <w:tc>
          <w:tcPr>
            <w:tcW w:w="0" w:type="auto"/>
            <w:vAlign w:val="center"/>
          </w:tcPr>
          <w:p w:rsidR="007B61FF" w:rsidRPr="00F169A4" w:rsidRDefault="007B61FF" w:rsidP="00F169A4">
            <w:pPr>
              <w:spacing w:after="0" w:line="240" w:lineRule="auto"/>
              <w:rPr>
                <w:rFonts w:ascii="Times New Roman" w:eastAsia="Times New Roman" w:hAnsi="Times New Roman" w:cs="Times New Roman"/>
                <w:sz w:val="24"/>
                <w:szCs w:val="24"/>
                <w:lang w:eastAsia="fr-FR"/>
              </w:rPr>
            </w:pPr>
          </w:p>
        </w:tc>
      </w:tr>
      <w:tr w:rsidR="007B61FF" w:rsidRPr="007B61FF" w:rsidTr="007B61FF">
        <w:trPr>
          <w:tblCellSpacing w:w="15" w:type="dxa"/>
        </w:trPr>
        <w:tc>
          <w:tcPr>
            <w:tcW w:w="0" w:type="auto"/>
            <w:vAlign w:val="center"/>
          </w:tcPr>
          <w:p w:rsidR="007B61FF" w:rsidRPr="007B61FF" w:rsidRDefault="007B61FF" w:rsidP="007B61FF">
            <w:pPr>
              <w:spacing w:after="0" w:line="240" w:lineRule="auto"/>
              <w:jc w:val="both"/>
              <w:rPr>
                <w:rFonts w:asciiTheme="minorHAnsi" w:eastAsia="Times New Roman" w:hAnsiTheme="minorHAnsi" w:cstheme="minorHAnsi"/>
                <w:lang w:eastAsia="fr-FR"/>
              </w:rPr>
            </w:pPr>
          </w:p>
        </w:tc>
        <w:tc>
          <w:tcPr>
            <w:tcW w:w="0" w:type="auto"/>
            <w:vAlign w:val="center"/>
          </w:tcPr>
          <w:p w:rsidR="007B61FF" w:rsidRPr="007B61FF" w:rsidRDefault="007B61FF" w:rsidP="00BC1D20">
            <w:pPr>
              <w:spacing w:after="0" w:line="240" w:lineRule="auto"/>
              <w:jc w:val="both"/>
              <w:rPr>
                <w:rFonts w:asciiTheme="minorHAnsi" w:eastAsia="Times New Roman" w:hAnsiTheme="minorHAnsi" w:cstheme="minorHAnsi"/>
                <w:lang w:eastAsia="fr-FR"/>
              </w:rPr>
            </w:pPr>
            <w:r w:rsidRPr="007B61FF">
              <w:rPr>
                <w:rFonts w:asciiTheme="minorHAnsi" w:eastAsia="Times New Roman" w:hAnsiTheme="minorHAnsi" w:cstheme="minorHAnsi"/>
                <w:lang w:eastAsia="fr-FR"/>
              </w:rPr>
              <w:t xml:space="preserve">Des exercices seront adressés aux étudiants. Au début du cours (1 fois par semaine), 15 minutes seront consacrées à la correction de ces </w:t>
            </w:r>
            <w:r w:rsidR="00BC1D20">
              <w:rPr>
                <w:rFonts w:asciiTheme="minorHAnsi" w:eastAsia="Times New Roman" w:hAnsiTheme="minorHAnsi" w:cstheme="minorHAnsi"/>
                <w:lang w:eastAsia="fr-FR"/>
              </w:rPr>
              <w:t>exercices</w:t>
            </w:r>
            <w:r w:rsidRPr="007B61FF">
              <w:rPr>
                <w:rFonts w:asciiTheme="minorHAnsi" w:eastAsia="Times New Roman" w:hAnsiTheme="minorHAnsi" w:cstheme="minorHAnsi"/>
                <w:lang w:eastAsia="fr-FR"/>
              </w:rPr>
              <w:t xml:space="preserve">. </w:t>
            </w:r>
          </w:p>
        </w:tc>
      </w:tr>
    </w:tbl>
    <w:p w:rsidR="00F169A4" w:rsidRPr="007B61FF" w:rsidRDefault="00F169A4" w:rsidP="007B61FF">
      <w:pPr>
        <w:jc w:val="both"/>
        <w:rPr>
          <w:rFonts w:asciiTheme="minorHAnsi" w:hAnsiTheme="minorHAnsi" w:cstheme="minorHAnsi"/>
        </w:rPr>
      </w:pPr>
    </w:p>
    <w:p w:rsidR="00E458CE" w:rsidRDefault="000112D4">
      <w:pPr>
        <w:pStyle w:val="Corpsdetexte"/>
        <w:spacing w:after="198"/>
      </w:pPr>
      <w:r>
        <w:rPr>
          <w:rFonts w:ascii="Calibri" w:eastAsia="Calibri" w:hAnsi="Calibri"/>
          <w:b/>
          <w:u w:val="single"/>
        </w:rPr>
        <w:t xml:space="preserve">Distance </w:t>
      </w:r>
      <w:proofErr w:type="spellStart"/>
      <w:r>
        <w:rPr>
          <w:rFonts w:ascii="Calibri" w:eastAsia="Calibri" w:hAnsi="Calibri"/>
          <w:b/>
          <w:u w:val="single"/>
        </w:rPr>
        <w:t>learning</w:t>
      </w:r>
      <w:proofErr w:type="spellEnd"/>
      <w:r>
        <w:rPr>
          <w:rFonts w:ascii="Calibri" w:eastAsia="Calibri" w:hAnsi="Calibri"/>
          <w:b/>
          <w:u w:val="single"/>
        </w:rPr>
        <w:t xml:space="preserve"> – </w:t>
      </w:r>
      <w:r>
        <w:rPr>
          <w:rFonts w:ascii="Calibri" w:eastAsia="Calibri" w:hAnsi="Calibri"/>
          <w:b/>
          <w:i/>
          <w:u w:val="single"/>
        </w:rPr>
        <w:t xml:space="preserve">Enseignement à distance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340"/>
      </w:tblGrid>
      <w:tr w:rsidR="007B61FF" w:rsidRPr="007B61FF" w:rsidTr="007B61FF">
        <w:trPr>
          <w:tblCellSpacing w:w="15" w:type="dxa"/>
        </w:trPr>
        <w:tc>
          <w:tcPr>
            <w:tcW w:w="0" w:type="auto"/>
            <w:vAlign w:val="center"/>
            <w:hideMark/>
          </w:tcPr>
          <w:p w:rsidR="007B61FF" w:rsidRPr="007B61FF" w:rsidRDefault="007B61FF" w:rsidP="007B61FF">
            <w:pPr>
              <w:spacing w:after="0" w:line="240" w:lineRule="auto"/>
              <w:rPr>
                <w:rFonts w:asciiTheme="minorHAnsi" w:eastAsia="Times New Roman" w:hAnsiTheme="minorHAnsi" w:cstheme="minorHAnsi"/>
                <w:sz w:val="20"/>
                <w:szCs w:val="24"/>
                <w:lang w:eastAsia="fr-FR"/>
              </w:rPr>
            </w:pPr>
          </w:p>
        </w:tc>
        <w:tc>
          <w:tcPr>
            <w:tcW w:w="5295" w:type="dxa"/>
            <w:vAlign w:val="center"/>
            <w:hideMark/>
          </w:tcPr>
          <w:p w:rsidR="007B61FF" w:rsidRPr="007B61FF" w:rsidRDefault="007B61FF" w:rsidP="00BC1D20">
            <w:pPr>
              <w:spacing w:after="0" w:line="240" w:lineRule="auto"/>
              <w:jc w:val="both"/>
              <w:rPr>
                <w:rFonts w:asciiTheme="minorHAnsi" w:eastAsia="Times New Roman" w:hAnsiTheme="minorHAnsi" w:cstheme="minorHAnsi"/>
                <w:lang w:eastAsia="fr-FR"/>
              </w:rPr>
            </w:pPr>
            <w:r w:rsidRPr="007B61FF">
              <w:rPr>
                <w:rFonts w:asciiTheme="minorHAnsi" w:eastAsia="Times New Roman" w:hAnsiTheme="minorHAnsi" w:cstheme="minorHAnsi"/>
                <w:lang w:eastAsia="fr-FR"/>
              </w:rPr>
              <w:t xml:space="preserve">Classe en ligne </w:t>
            </w:r>
            <w:proofErr w:type="gramStart"/>
            <w:r w:rsidRPr="007B61FF">
              <w:rPr>
                <w:rFonts w:asciiTheme="minorHAnsi" w:eastAsia="Times New Roman" w:hAnsiTheme="minorHAnsi" w:cstheme="minorHAnsi"/>
                <w:lang w:eastAsia="fr-FR"/>
              </w:rPr>
              <w:t>interactive..</w:t>
            </w:r>
            <w:proofErr w:type="gramEnd"/>
            <w:r w:rsidRPr="007B61FF">
              <w:rPr>
                <w:rFonts w:asciiTheme="minorHAnsi" w:eastAsia="Times New Roman" w:hAnsiTheme="minorHAnsi" w:cstheme="minorHAnsi"/>
                <w:lang w:eastAsia="fr-FR"/>
              </w:rPr>
              <w:t xml:space="preserve"> </w:t>
            </w:r>
          </w:p>
        </w:tc>
      </w:tr>
    </w:tbl>
    <w:p w:rsidR="00E458CE" w:rsidRPr="007B61FF" w:rsidRDefault="00E458CE" w:rsidP="007B61FF">
      <w:pPr>
        <w:pStyle w:val="Corpsdetexte"/>
        <w:spacing w:after="142"/>
        <w:rPr>
          <w:rFonts w:ascii="Calibri" w:eastAsiaTheme="minorEastAsia" w:hAnsi="Calibri"/>
          <w:lang w:eastAsia="fr-FR"/>
        </w:rPr>
      </w:pPr>
    </w:p>
    <w:p w:rsidR="00E458CE" w:rsidRPr="007B61FF" w:rsidRDefault="00E458CE">
      <w:pPr>
        <w:pStyle w:val="Corpsdetexte"/>
        <w:tabs>
          <w:tab w:val="left" w:pos="0"/>
        </w:tabs>
        <w:spacing w:after="142" w:line="240" w:lineRule="auto"/>
        <w:ind w:left="1131"/>
        <w:rPr>
          <w:rFonts w:ascii="Calibri" w:eastAsiaTheme="minorEastAsia" w:hAnsi="Calibri"/>
          <w:lang w:eastAsia="fr-FR"/>
        </w:rPr>
      </w:pPr>
    </w:p>
    <w:sectPr w:rsidR="00E458CE" w:rsidRPr="007B61FF">
      <w:headerReference w:type="default" r:id="rId7"/>
      <w:headerReference w:type="first" r:id="rId8"/>
      <w:pgSz w:w="11906" w:h="16838"/>
      <w:pgMar w:top="1417" w:right="1417" w:bottom="1417" w:left="1417"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89C" w:rsidRDefault="0007689C">
      <w:pPr>
        <w:spacing w:after="0" w:line="240" w:lineRule="auto"/>
      </w:pPr>
      <w:r>
        <w:separator/>
      </w:r>
    </w:p>
  </w:endnote>
  <w:endnote w:type="continuationSeparator" w:id="0">
    <w:p w:rsidR="0007689C" w:rsidRDefault="0007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89C" w:rsidRDefault="0007689C">
      <w:pPr>
        <w:spacing w:after="0" w:line="240" w:lineRule="auto"/>
      </w:pPr>
      <w:r>
        <w:separator/>
      </w:r>
    </w:p>
  </w:footnote>
  <w:footnote w:type="continuationSeparator" w:id="0">
    <w:p w:rsidR="0007689C" w:rsidRDefault="00076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8CE" w:rsidRDefault="00E458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8CE" w:rsidRDefault="000112D4">
    <w:pPr>
      <w:pStyle w:val="En-tte"/>
    </w:pPr>
    <w:r>
      <w:rPr>
        <w:noProof/>
        <w:lang w:eastAsia="fr-FR"/>
      </w:rPr>
      <w:drawing>
        <wp:inline distT="0" distB="0" distL="0" distR="0">
          <wp:extent cx="1905000" cy="8286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1905000" cy="828675"/>
                  </a:xfrm>
                  <a:prstGeom prst="rect">
                    <a:avLst/>
                  </a:prstGeom>
                </pic:spPr>
              </pic:pic>
            </a:graphicData>
          </a:graphic>
        </wp:inline>
      </w:drawing>
    </w:r>
    <w:r>
      <w:rPr>
        <w:noProof/>
        <w:lang w:eastAsia="fr-FR"/>
      </w:rPr>
      <w:drawing>
        <wp:anchor distT="0" distB="0" distL="114300" distR="114300" simplePos="0" relativeHeight="2" behindDoc="0" locked="0" layoutInCell="1" allowOverlap="1">
          <wp:simplePos x="0" y="0"/>
          <wp:positionH relativeFrom="column">
            <wp:posOffset>5202555</wp:posOffset>
          </wp:positionH>
          <wp:positionV relativeFrom="paragraph">
            <wp:posOffset>-217170</wp:posOffset>
          </wp:positionV>
          <wp:extent cx="734060" cy="741680"/>
          <wp:effectExtent l="0" t="0" r="0" b="0"/>
          <wp:wrapTight wrapText="bothSides">
            <wp:wrapPolygon edited="0">
              <wp:start x="-37" y="0"/>
              <wp:lineTo x="-37" y="20962"/>
              <wp:lineTo x="21219" y="20962"/>
              <wp:lineTo x="21219" y="0"/>
              <wp:lineTo x="-37" y="0"/>
            </wp:wrapPolygon>
          </wp:wrapTight>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1"/>
                  <pic:cNvPicPr>
                    <a:picLocks noChangeAspect="1" noChangeArrowheads="1"/>
                  </pic:cNvPicPr>
                </pic:nvPicPr>
                <pic:blipFill>
                  <a:blip r:embed="rId2"/>
                  <a:stretch>
                    <a:fillRect/>
                  </a:stretch>
                </pic:blipFill>
                <pic:spPr bwMode="auto">
                  <a:xfrm>
                    <a:off x="0" y="0"/>
                    <a:ext cx="734060" cy="7416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6A60"/>
    <w:multiLevelType w:val="multilevel"/>
    <w:tmpl w:val="658C22EC"/>
    <w:lvl w:ilvl="0">
      <w:start w:val="1"/>
      <w:numFmt w:val="bullet"/>
      <w:lvlText w:val=""/>
      <w:lvlJc w:val="left"/>
      <w:pPr>
        <w:tabs>
          <w:tab w:val="num" w:pos="707"/>
        </w:tabs>
        <w:ind w:left="707" w:hanging="283"/>
      </w:pPr>
      <w:rPr>
        <w:rFonts w:ascii="Symbol" w:hAnsi="Symbol" w:cs="OpenSymbol" w:hint="default"/>
        <w:sz w:val="22"/>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10C57AB1"/>
    <w:multiLevelType w:val="hybridMultilevel"/>
    <w:tmpl w:val="77A452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833D8B"/>
    <w:multiLevelType w:val="multilevel"/>
    <w:tmpl w:val="6D722BE0"/>
    <w:lvl w:ilvl="0">
      <w:start w:val="1"/>
      <w:numFmt w:val="bullet"/>
      <w:lvlText w:val=""/>
      <w:lvlJc w:val="left"/>
      <w:pPr>
        <w:tabs>
          <w:tab w:val="num" w:pos="707"/>
        </w:tabs>
        <w:ind w:left="707" w:hanging="283"/>
      </w:pPr>
      <w:rPr>
        <w:rFonts w:ascii="Symbol" w:hAnsi="Symbol" w:cs="OpenSymbol" w:hint="default"/>
        <w:sz w:val="22"/>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5C3B05E4"/>
    <w:multiLevelType w:val="multilevel"/>
    <w:tmpl w:val="4A26E7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EF35F55"/>
    <w:multiLevelType w:val="hybridMultilevel"/>
    <w:tmpl w:val="248A09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CE"/>
    <w:rsid w:val="000112D4"/>
    <w:rsid w:val="0007689C"/>
    <w:rsid w:val="0037346F"/>
    <w:rsid w:val="007444B3"/>
    <w:rsid w:val="007B61FF"/>
    <w:rsid w:val="00A56093"/>
    <w:rsid w:val="00BC1D20"/>
    <w:rsid w:val="00E458CE"/>
    <w:rsid w:val="00F169A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36C5E-58CB-4D22-BCF3-AE56D1C8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BE2207"/>
  </w:style>
  <w:style w:type="character" w:customStyle="1" w:styleId="PieddepageCar">
    <w:name w:val="Pied de page Car"/>
    <w:basedOn w:val="Policepardfaut"/>
    <w:link w:val="Pieddepage"/>
    <w:uiPriority w:val="99"/>
    <w:qFormat/>
    <w:rsid w:val="009B6EED"/>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uiPriority w:val="99"/>
    <w:unhideWhenUsed/>
    <w:rsid w:val="00BE2207"/>
    <w:pPr>
      <w:tabs>
        <w:tab w:val="center" w:pos="4536"/>
        <w:tab w:val="right" w:pos="9072"/>
      </w:tabs>
      <w:spacing w:after="0" w:line="240" w:lineRule="auto"/>
    </w:pPr>
  </w:style>
  <w:style w:type="paragraph" w:styleId="Pieddepage">
    <w:name w:val="footer"/>
    <w:basedOn w:val="Normal"/>
    <w:link w:val="PieddepageCar"/>
    <w:uiPriority w:val="99"/>
    <w:unhideWhenUsed/>
    <w:rsid w:val="009B6EED"/>
    <w:pPr>
      <w:tabs>
        <w:tab w:val="center" w:pos="4536"/>
        <w:tab w:val="right" w:pos="9072"/>
      </w:tabs>
      <w:spacing w:after="0" w:line="240" w:lineRule="auto"/>
    </w:pPr>
  </w:style>
  <w:style w:type="table" w:styleId="Grilledutableau">
    <w:name w:val="Table Grid"/>
    <w:basedOn w:val="TableauNormal"/>
    <w:uiPriority w:val="59"/>
    <w:rsid w:val="00BE2207"/>
    <w:rPr>
      <w:rFonts w:asciiTheme="minorHAnsi" w:eastAsiaTheme="minorEastAsia" w:hAnsiTheme="minorHAns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B61FF"/>
    <w:pPr>
      <w:ind w:left="720"/>
      <w:contextualSpacing/>
    </w:pPr>
  </w:style>
  <w:style w:type="paragraph" w:styleId="Textedebulles">
    <w:name w:val="Balloon Text"/>
    <w:basedOn w:val="Normal"/>
    <w:link w:val="TextedebullesCar"/>
    <w:uiPriority w:val="99"/>
    <w:semiHidden/>
    <w:unhideWhenUsed/>
    <w:rsid w:val="007444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4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0338">
      <w:bodyDiv w:val="1"/>
      <w:marLeft w:val="0"/>
      <w:marRight w:val="0"/>
      <w:marTop w:val="0"/>
      <w:marBottom w:val="0"/>
      <w:divBdr>
        <w:top w:val="none" w:sz="0" w:space="0" w:color="auto"/>
        <w:left w:val="none" w:sz="0" w:space="0" w:color="auto"/>
        <w:bottom w:val="none" w:sz="0" w:space="0" w:color="auto"/>
        <w:right w:val="none" w:sz="0" w:space="0" w:color="auto"/>
      </w:divBdr>
    </w:div>
    <w:div w:id="666904698">
      <w:bodyDiv w:val="1"/>
      <w:marLeft w:val="0"/>
      <w:marRight w:val="0"/>
      <w:marTop w:val="0"/>
      <w:marBottom w:val="0"/>
      <w:divBdr>
        <w:top w:val="none" w:sz="0" w:space="0" w:color="auto"/>
        <w:left w:val="none" w:sz="0" w:space="0" w:color="auto"/>
        <w:bottom w:val="none" w:sz="0" w:space="0" w:color="auto"/>
        <w:right w:val="none" w:sz="0" w:space="0" w:color="auto"/>
      </w:divBdr>
    </w:div>
    <w:div w:id="1078207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2472</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Concina</dc:creator>
  <cp:lastModifiedBy>REBECA DE LAS HERAS DE PABLO</cp:lastModifiedBy>
  <cp:revision>2</cp:revision>
  <dcterms:created xsi:type="dcterms:W3CDTF">2021-10-18T14:29:00Z</dcterms:created>
  <dcterms:modified xsi:type="dcterms:W3CDTF">2021-10-18T14:29:00Z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UT1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